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Standard"/>
        <w:jc w:val="both"/>
        <w:rPr>
          <w:lang w:val="en-US"/>
        </w:rPr>
      </w:pPr>
    </w:p>
    <w:p>
      <w:pPr>
        <w:pStyle w:val="Standard"/>
        <w:jc w:val="both"/>
        <w:rPr>
          <w:rFonts w:ascii="Helvetica" w:cs="Helvetica" w:hAnsi="Helvetica" w:eastAsia="Helvetica"/>
          <w:b w:val="1"/>
          <w:bCs w:val="1"/>
          <w:sz w:val="20"/>
          <w:szCs w:val="20"/>
          <w:lang w:val="en-US"/>
        </w:rPr>
      </w:pPr>
      <w:r>
        <w:rPr>
          <w:rFonts w:ascii="Helvetica" w:hAnsi="Helvetica"/>
          <w:b w:val="1"/>
          <w:bCs w:val="1"/>
          <w:sz w:val="20"/>
          <w:szCs w:val="20"/>
          <w:rtl w:val="0"/>
          <w:lang w:val="en-US"/>
        </w:rPr>
        <w:t xml:space="preserve">NOTE ON THE </w:t>
      </w:r>
      <w:r>
        <w:rPr>
          <w:rFonts w:ascii="Helvetica" w:hAnsi="Helvetica"/>
          <w:b w:val="1"/>
          <w:bCs w:val="1"/>
          <w:sz w:val="20"/>
          <w:szCs w:val="20"/>
          <w:rtl w:val="0"/>
          <w:lang w:val="en-US"/>
        </w:rPr>
        <w:t>REGISTER OF BIDDER INFORMATION</w:t>
      </w:r>
      <w:r>
        <w:rPr>
          <w:rFonts w:ascii="Helvetica" w:cs="Helvetica" w:hAnsi="Helvetica" w:eastAsia="Helvetica"/>
          <w:b w:val="1"/>
          <w:bCs w:val="1"/>
          <w:sz w:val="20"/>
          <w:szCs w:val="20"/>
          <w:lang w:val="en-US"/>
        </w:rPr>
        <w:drawing>
          <wp:anchor distT="152400" distB="152400" distL="152400" distR="152400" simplePos="0" relativeHeight="251659264" behindDoc="0" locked="0" layoutInCell="1" allowOverlap="1">
            <wp:simplePos x="0" y="0"/>
            <wp:positionH relativeFrom="margin">
              <wp:posOffset>3893510</wp:posOffset>
            </wp:positionH>
            <wp:positionV relativeFrom="page">
              <wp:posOffset>297179</wp:posOffset>
            </wp:positionV>
            <wp:extent cx="1857050" cy="420584"/>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tretch>
                      <a:fillRect/>
                    </a:stretch>
                  </pic:blipFill>
                  <pic:spPr>
                    <a:xfrm>
                      <a:off x="0" y="0"/>
                      <a:ext cx="1857050" cy="420584"/>
                    </a:xfrm>
                    <a:prstGeom prst="rect">
                      <a:avLst/>
                    </a:prstGeom>
                    <a:ln w="12700" cap="flat">
                      <a:noFill/>
                      <a:miter lim="400000"/>
                    </a:ln>
                    <a:effectLst/>
                  </pic:spPr>
                </pic:pic>
              </a:graphicData>
            </a:graphic>
          </wp:anchor>
        </w:drawing>
      </w:r>
    </w:p>
    <w:p>
      <w:pPr>
        <w:pStyle w:val="Standard"/>
        <w:jc w:val="both"/>
        <w:rPr>
          <w:rFonts w:ascii="Helvetica" w:cs="Helvetica" w:hAnsi="Helvetica" w:eastAsia="Helvetica"/>
          <w:sz w:val="20"/>
          <w:szCs w:val="20"/>
          <w:lang w:val="en-US"/>
        </w:rPr>
      </w:pPr>
      <w:r>
        <w:rPr>
          <w:rFonts w:ascii="Helvetica" w:hAnsi="Helvetica"/>
          <w:sz w:val="20"/>
          <w:szCs w:val="20"/>
          <w:rtl w:val="0"/>
          <w:lang w:val="en-US"/>
        </w:rPr>
        <w:t xml:space="preserve">If </w:t>
      </w:r>
      <w:r>
        <w:rPr>
          <w:rFonts w:ascii="Helvetica" w:hAnsi="Helvetica"/>
          <w:sz w:val="20"/>
          <w:szCs w:val="20"/>
          <w:rtl w:val="0"/>
          <w:lang w:val="en-US"/>
        </w:rPr>
        <w:t xml:space="preserve">bidder details, e.g. of offered makes and types, are requested </w:t>
      </w:r>
      <w:r>
        <w:rPr>
          <w:rFonts w:ascii="Helvetica" w:hAnsi="Helvetica"/>
          <w:sz w:val="20"/>
          <w:szCs w:val="20"/>
          <w:rtl w:val="0"/>
          <w:lang w:val="en-US"/>
        </w:rPr>
        <w:t>in the specification</w:t>
      </w:r>
      <w:r>
        <w:rPr>
          <w:rFonts w:ascii="Helvetica" w:hAnsi="Helvetica"/>
          <w:sz w:val="20"/>
          <w:szCs w:val="20"/>
          <w:rtl w:val="0"/>
          <w:lang w:val="en-US"/>
        </w:rPr>
        <w:t>,</w:t>
      </w:r>
      <w:r>
        <w:rPr>
          <w:rFonts w:ascii="Helvetica" w:hAnsi="Helvetica"/>
          <w:sz w:val="20"/>
          <w:szCs w:val="20"/>
          <w:rtl w:val="0"/>
          <w:lang w:val="en-US"/>
        </w:rPr>
        <w:t xml:space="preserve"> these must be stated in detail by the Bidder. </w:t>
      </w:r>
    </w:p>
    <w:p>
      <w:pPr>
        <w:pStyle w:val="Standard"/>
        <w:jc w:val="both"/>
        <w:rPr>
          <w:rFonts w:ascii="Helvetica" w:cs="Helvetica" w:hAnsi="Helvetica" w:eastAsia="Helvetica"/>
          <w:sz w:val="20"/>
          <w:szCs w:val="20"/>
          <w:lang w:val="en-US"/>
        </w:rPr>
      </w:pPr>
      <w:r>
        <w:rPr>
          <w:rFonts w:ascii="Helvetica" w:hAnsi="Helvetica"/>
          <w:sz w:val="20"/>
          <w:szCs w:val="20"/>
          <w:rtl w:val="0"/>
          <w:lang w:val="en-US"/>
        </w:rPr>
        <w:t xml:space="preserve">Follow-on items proposed by the same manufacturer (e.g. </w:t>
      </w:r>
      <w:r>
        <w:rPr>
          <w:rFonts w:ascii="Helvetica" w:hAnsi="Helvetica" w:hint="default"/>
          <w:sz w:val="20"/>
          <w:szCs w:val="20"/>
          <w:rtl w:val="0"/>
          <w:lang w:val="en-US"/>
        </w:rPr>
        <w:t>“</w:t>
      </w:r>
      <w:r>
        <w:rPr>
          <w:rFonts w:ascii="Helvetica" w:hAnsi="Helvetica"/>
          <w:sz w:val="20"/>
          <w:szCs w:val="20"/>
          <w:rtl w:val="0"/>
          <w:lang w:val="en-US"/>
        </w:rPr>
        <w:t>as per the previous position but ...") shall be offered by the Bidder if the fabrication of the pre-items are in line with the system type vari</w:t>
      </w:r>
      <w:r>
        <w:rPr>
          <w:rFonts w:ascii="Helvetica" w:hAnsi="Helvetica"/>
          <w:sz w:val="20"/>
          <w:szCs w:val="20"/>
          <w:rtl w:val="0"/>
          <w:lang w:val="en-US"/>
        </w:rPr>
        <w:softHyphen/>
        <w:t xml:space="preserve">ants. </w:t>
      </w:r>
    </w:p>
    <w:p>
      <w:pPr>
        <w:pStyle w:val="Standard"/>
        <w:jc w:val="both"/>
        <w:rPr>
          <w:rFonts w:ascii="Helvetica" w:cs="Helvetica" w:hAnsi="Helvetica" w:eastAsia="Helvetica"/>
          <w:b w:val="1"/>
          <w:bCs w:val="1"/>
          <w:sz w:val="20"/>
          <w:szCs w:val="20"/>
          <w:lang w:val="en-US"/>
        </w:rPr>
      </w:pPr>
      <w:r>
        <w:rPr>
          <w:rFonts w:ascii="Helvetica" w:hAnsi="Helvetica"/>
          <w:b w:val="1"/>
          <w:bCs w:val="1"/>
          <w:sz w:val="20"/>
          <w:szCs w:val="20"/>
          <w:rtl w:val="0"/>
          <w:lang w:val="en-US"/>
        </w:rPr>
        <w:t xml:space="preserve">TECHNICAL SPECIFICATIONS AND PHYSICAL SITE REQUIREMENTS </w:t>
      </w:r>
    </w:p>
    <w:p>
      <w:pPr>
        <w:pStyle w:val="Standard"/>
        <w:jc w:val="both"/>
        <w:rPr>
          <w:rFonts w:ascii="Helvetica" w:cs="Helvetica" w:hAnsi="Helvetica" w:eastAsia="Helvetica"/>
          <w:sz w:val="20"/>
          <w:szCs w:val="20"/>
          <w:lang w:val="en-US"/>
        </w:rPr>
      </w:pPr>
      <w:r>
        <w:rPr>
          <w:rFonts w:ascii="Helvetica" w:hAnsi="Helvetica"/>
          <w:sz w:val="20"/>
          <w:szCs w:val="20"/>
          <w:rtl w:val="0"/>
          <w:lang w:val="en-US"/>
        </w:rPr>
        <w:t>Insofar as in the specifications of performance for individual items there were no other regulations</w:t>
      </w:r>
      <w:r>
        <w:rPr>
          <w:rFonts w:ascii="Helvetica" w:hAnsi="Helvetica"/>
          <w:sz w:val="20"/>
          <w:szCs w:val="20"/>
          <w:rtl w:val="0"/>
          <w:lang w:val="en-US"/>
        </w:rPr>
        <w:t>,</w:t>
      </w:r>
      <w:r>
        <w:rPr>
          <w:rFonts w:ascii="Helvetica" w:hAnsi="Helvetica"/>
          <w:sz w:val="20"/>
          <w:szCs w:val="20"/>
          <w:rtl w:val="0"/>
          <w:lang w:val="en-US"/>
        </w:rPr>
        <w:t xml:space="preserve"> then the following specifications apply: </w:t>
      </w:r>
    </w:p>
    <w:p>
      <w:pPr>
        <w:pStyle w:val="Standard"/>
        <w:spacing w:after="0"/>
        <w:jc w:val="both"/>
        <w:rPr>
          <w:rFonts w:ascii="Helvetica" w:cs="Helvetica" w:hAnsi="Helvetica" w:eastAsia="Helvetica"/>
          <w:b w:val="1"/>
          <w:bCs w:val="1"/>
          <w:sz w:val="20"/>
          <w:szCs w:val="20"/>
          <w:lang w:val="en-US"/>
        </w:rPr>
      </w:pPr>
      <w:r>
        <w:rPr>
          <w:rFonts w:ascii="Helvetica" w:hAnsi="Helvetica"/>
          <w:b w:val="1"/>
          <w:bCs w:val="1"/>
          <w:sz w:val="20"/>
          <w:szCs w:val="20"/>
          <w:rtl w:val="0"/>
          <w:lang w:val="en-US"/>
        </w:rPr>
        <w:t xml:space="preserve">Heat Protection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Calculations in conformity with DIN EN ISO 10077-2 and dependent on measurements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Heat protection of elements (Uw) pursuant to DIN EN ISO 10077-1, DIN V 4108-4, (June 2007) </w:t>
      </w:r>
    </w:p>
    <w:p>
      <w:pPr>
        <w:pStyle w:val="Standard"/>
        <w:spacing w:after="0"/>
        <w:jc w:val="both"/>
        <w:rPr>
          <w:rFonts w:ascii="Helvetica" w:cs="Helvetica" w:hAnsi="Helvetica" w:eastAsia="Helvetica"/>
          <w:b w:val="1"/>
          <w:bCs w:val="1"/>
          <w:sz w:val="20"/>
          <w:szCs w:val="20"/>
          <w:lang w:val="en-US"/>
        </w:rPr>
      </w:pPr>
    </w:p>
    <w:p>
      <w:pPr>
        <w:pStyle w:val="Standard"/>
        <w:spacing w:after="0"/>
        <w:jc w:val="both"/>
        <w:rPr>
          <w:rFonts w:ascii="Helvetica" w:cs="Helvetica" w:hAnsi="Helvetica" w:eastAsia="Helvetica"/>
          <w:b w:val="1"/>
          <w:bCs w:val="1"/>
          <w:sz w:val="20"/>
          <w:szCs w:val="20"/>
          <w:lang w:val="en-US"/>
        </w:rPr>
      </w:pPr>
      <w:r>
        <w:rPr>
          <w:rFonts w:ascii="Helvetica" w:hAnsi="Helvetica"/>
          <w:b w:val="1"/>
          <w:bCs w:val="1"/>
          <w:sz w:val="20"/>
          <w:szCs w:val="20"/>
          <w:rtl w:val="0"/>
          <w:lang w:val="en-US"/>
        </w:rPr>
        <w:t xml:space="preserve">Sound Protection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Sound protection of elements in conformity with VDI Guidelines 2719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Sound Protection Class: II </w:t>
      </w:r>
    </w:p>
    <w:p>
      <w:pPr>
        <w:pStyle w:val="Standard"/>
        <w:spacing w:after="0"/>
        <w:jc w:val="both"/>
        <w:rPr>
          <w:rFonts w:ascii="Helvetica" w:cs="Helvetica" w:hAnsi="Helvetica" w:eastAsia="Helvetica"/>
          <w:b w:val="1"/>
          <w:bCs w:val="1"/>
          <w:sz w:val="20"/>
          <w:szCs w:val="20"/>
          <w:lang w:val="en-US"/>
        </w:rPr>
      </w:pPr>
    </w:p>
    <w:p>
      <w:pPr>
        <w:pStyle w:val="Standard"/>
        <w:spacing w:after="0"/>
        <w:jc w:val="both"/>
        <w:rPr>
          <w:rFonts w:ascii="Helvetica" w:cs="Helvetica" w:hAnsi="Helvetica" w:eastAsia="Helvetica"/>
          <w:b w:val="1"/>
          <w:bCs w:val="1"/>
          <w:sz w:val="20"/>
          <w:szCs w:val="20"/>
          <w:lang w:val="en-US"/>
        </w:rPr>
      </w:pPr>
      <w:r>
        <w:rPr>
          <w:rFonts w:ascii="Helvetica" w:hAnsi="Helvetica"/>
          <w:b w:val="1"/>
          <w:bCs w:val="1"/>
          <w:sz w:val="20"/>
          <w:szCs w:val="20"/>
          <w:rtl w:val="0"/>
          <w:lang w:val="en-US"/>
        </w:rPr>
        <w:t xml:space="preserve">Stress Groups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Stress groups according to DIN EN 12207, DIN EN 12208 and DIN EN 12210 </w:t>
      </w:r>
    </w:p>
    <w:p>
      <w:pPr>
        <w:pStyle w:val="Standard"/>
        <w:spacing w:after="0"/>
        <w:jc w:val="both"/>
        <w:rPr>
          <w:rFonts w:ascii="Helvetica" w:cs="Helvetica" w:hAnsi="Helvetica" w:eastAsia="Helvetica"/>
          <w:sz w:val="20"/>
          <w:szCs w:val="20"/>
          <w:u w:val="single"/>
          <w:lang w:val="en-US"/>
        </w:rPr>
      </w:pPr>
    </w:p>
    <w:p>
      <w:pPr>
        <w:pStyle w:val="Standard"/>
        <w:spacing w:after="0"/>
        <w:jc w:val="both"/>
        <w:rPr>
          <w:rFonts w:ascii="Helvetica" w:cs="Helvetica" w:hAnsi="Helvetica" w:eastAsia="Helvetica"/>
          <w:sz w:val="20"/>
          <w:szCs w:val="20"/>
          <w:lang w:val="en-US"/>
        </w:rPr>
      </w:pPr>
      <w:r>
        <w:rPr>
          <w:rFonts w:ascii="Helvetica" w:hAnsi="Helvetica"/>
          <w:sz w:val="20"/>
          <w:szCs w:val="20"/>
          <w:u w:val="single"/>
          <w:rtl w:val="0"/>
          <w:lang w:val="en-US"/>
        </w:rPr>
        <w:t xml:space="preserve">Windows: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Air permeability DIN EN 12207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Classification: 4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Driving rain seal tightness DIN EN 12208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Classification, Test procedure A: E900</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Resistance to wind force: DIN EN 12210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Classi</w:t>
      </w:r>
      <w:r>
        <w:rPr>
          <w:rFonts w:ascii="Helvetica" w:hAnsi="Helvetica"/>
          <w:sz w:val="20"/>
          <w:szCs w:val="20"/>
          <w:rtl w:val="0"/>
          <w:lang w:val="en-US"/>
        </w:rPr>
        <w:softHyphen/>
        <w:t>fication: C4</w:t>
      </w:r>
    </w:p>
    <w:p>
      <w:pPr>
        <w:pStyle w:val="Standard"/>
        <w:spacing w:after="0"/>
        <w:jc w:val="both"/>
        <w:rPr>
          <w:rFonts w:ascii="Helvetica" w:cs="Helvetica" w:hAnsi="Helvetica" w:eastAsia="Helvetica"/>
          <w:sz w:val="20"/>
          <w:szCs w:val="20"/>
          <w:u w:val="single"/>
          <w:lang w:val="en-US"/>
        </w:rPr>
      </w:pPr>
    </w:p>
    <w:p>
      <w:pPr>
        <w:pStyle w:val="Standard"/>
        <w:spacing w:after="0"/>
        <w:jc w:val="both"/>
        <w:rPr>
          <w:rFonts w:ascii="Helvetica" w:cs="Helvetica" w:hAnsi="Helvetica" w:eastAsia="Helvetica"/>
          <w:sz w:val="20"/>
          <w:szCs w:val="20"/>
          <w:lang w:val="en-US"/>
        </w:rPr>
      </w:pPr>
      <w:r>
        <w:rPr>
          <w:rFonts w:ascii="Helvetica" w:hAnsi="Helvetica"/>
          <w:sz w:val="20"/>
          <w:szCs w:val="20"/>
          <w:u w:val="single"/>
          <w:rtl w:val="0"/>
          <w:lang w:val="en-US"/>
        </w:rPr>
        <w:t xml:space="preserve">Curtain </w:t>
      </w:r>
      <w:r>
        <w:rPr>
          <w:rFonts w:ascii="Helvetica" w:hAnsi="Helvetica"/>
          <w:sz w:val="20"/>
          <w:szCs w:val="20"/>
          <w:u w:val="single"/>
          <w:rtl w:val="0"/>
          <w:lang w:val="en-US"/>
        </w:rPr>
        <w:t>Wall</w:t>
      </w:r>
      <w:r>
        <w:rPr>
          <w:rFonts w:ascii="Helvetica" w:hAnsi="Helvetica"/>
          <w:sz w:val="20"/>
          <w:szCs w:val="20"/>
          <w:u w:val="single"/>
          <w:rtl w:val="0"/>
          <w:lang w:val="en-US"/>
        </w:rPr>
        <w:t xml:space="preserve">: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On the basis of the CE ma</w:t>
      </w:r>
      <w:r>
        <w:rPr>
          <w:rFonts w:ascii="Helvetica" w:hAnsi="Helvetica"/>
          <w:sz w:val="20"/>
          <w:szCs w:val="20"/>
          <w:rtl w:val="0"/>
          <w:lang w:val="en-US"/>
        </w:rPr>
        <w:t>r</w:t>
      </w:r>
      <w:r>
        <w:rPr>
          <w:rFonts w:ascii="Helvetica" w:hAnsi="Helvetica"/>
          <w:sz w:val="20"/>
          <w:szCs w:val="20"/>
          <w:rtl w:val="0"/>
          <w:lang w:val="en-US"/>
        </w:rPr>
        <w:t>king obligation for fa</w:t>
      </w:r>
      <w:r>
        <w:rPr>
          <w:rFonts w:ascii="Helvetica" w:hAnsi="Helvetica" w:hint="default"/>
          <w:sz w:val="20"/>
          <w:szCs w:val="20"/>
          <w:rtl w:val="0"/>
          <w:lang w:val="en-US"/>
        </w:rPr>
        <w:t>ç</w:t>
      </w:r>
      <w:r>
        <w:rPr>
          <w:rFonts w:ascii="Helvetica" w:hAnsi="Helvetica"/>
          <w:sz w:val="20"/>
          <w:szCs w:val="20"/>
          <w:rtl w:val="0"/>
          <w:lang w:val="en-US"/>
        </w:rPr>
        <w:t>ades, the following properties are required and proof thereof provided for curtain fa</w:t>
      </w:r>
      <w:r>
        <w:rPr>
          <w:rFonts w:ascii="Helvetica" w:hAnsi="Helvetica" w:hint="default"/>
          <w:sz w:val="20"/>
          <w:szCs w:val="20"/>
          <w:rtl w:val="0"/>
          <w:lang w:val="en-US"/>
        </w:rPr>
        <w:t>ç</w:t>
      </w:r>
      <w:r>
        <w:rPr>
          <w:rFonts w:ascii="Helvetica" w:hAnsi="Helvetica"/>
          <w:sz w:val="20"/>
          <w:szCs w:val="20"/>
          <w:rtl w:val="0"/>
          <w:lang w:val="en-US"/>
        </w:rPr>
        <w:t>ades under the framework of the "Product Pass Fa</w:t>
      </w:r>
      <w:r>
        <w:rPr>
          <w:rFonts w:ascii="Helvetica" w:hAnsi="Helvetica" w:hint="default"/>
          <w:sz w:val="20"/>
          <w:szCs w:val="20"/>
          <w:rtl w:val="0"/>
          <w:lang w:val="en-US"/>
        </w:rPr>
        <w:t>ç</w:t>
      </w:r>
      <w:r>
        <w:rPr>
          <w:rFonts w:ascii="Helvetica" w:hAnsi="Helvetica"/>
          <w:sz w:val="20"/>
          <w:szCs w:val="20"/>
          <w:rtl w:val="0"/>
          <w:lang w:val="en-US"/>
        </w:rPr>
        <w:t xml:space="preserve">ade":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Air permeability DIN EN 12152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Classification: A 4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Driving rain impermeability DIN EN 12155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Classification, Test procedure A: RE 1200</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Wind force resistance DIN EN 12210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Classi</w:t>
      </w:r>
      <w:r>
        <w:rPr>
          <w:rFonts w:ascii="Helvetica" w:hAnsi="Helvetica"/>
          <w:sz w:val="20"/>
          <w:szCs w:val="20"/>
          <w:rtl w:val="0"/>
          <w:lang w:val="en-US"/>
        </w:rPr>
        <w:softHyphen/>
        <w:t>fication: C4</w:t>
      </w:r>
    </w:p>
    <w:p>
      <w:pPr>
        <w:pStyle w:val="Standard"/>
        <w:spacing w:after="0"/>
        <w:jc w:val="both"/>
        <w:rPr>
          <w:rFonts w:ascii="Helvetica" w:cs="Helvetica" w:hAnsi="Helvetica" w:eastAsia="Helvetica"/>
          <w:sz w:val="20"/>
          <w:szCs w:val="20"/>
          <w:lang w:val="en-US"/>
        </w:rPr>
      </w:pP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Pursuant to EN 13830, the maximum deflection of fa</w:t>
      </w:r>
      <w:r>
        <w:rPr>
          <w:rFonts w:ascii="Helvetica" w:hAnsi="Helvetica" w:hint="default"/>
          <w:sz w:val="20"/>
          <w:szCs w:val="20"/>
          <w:rtl w:val="0"/>
          <w:lang w:val="en-US"/>
        </w:rPr>
        <w:t>ç</w:t>
      </w:r>
      <w:r>
        <w:rPr>
          <w:rFonts w:ascii="Helvetica" w:hAnsi="Helvetica"/>
          <w:sz w:val="20"/>
          <w:szCs w:val="20"/>
          <w:rtl w:val="0"/>
          <w:lang w:val="en-US"/>
        </w:rPr>
        <w:t>ade parts is limited to L/200 or 15 mm. The statics evidence for the posts must be attached. The transom-mullion connectors and the screwing of the clamping strips to the basic profile must have a test certificate from a recognized test institute. The corresponding test certificates shall be submitted in written form at the request of the Principal. Under the terms of</w:t>
      </w:r>
      <w:r>
        <w:rPr>
          <w:rFonts w:ascii="Helvetica" w:hAnsi="Helvetica"/>
          <w:sz w:val="20"/>
          <w:szCs w:val="20"/>
          <w:rtl w:val="0"/>
          <w:lang w:val="en-US"/>
        </w:rPr>
        <w:t xml:space="preserve"> EG</w:t>
      </w:r>
      <w:r>
        <w:rPr>
          <w:rFonts w:ascii="Helvetica" w:hAnsi="Helvetica"/>
          <w:sz w:val="20"/>
          <w:szCs w:val="20"/>
          <w:rtl w:val="0"/>
          <w:lang w:val="en-US"/>
        </w:rPr>
        <w:t xml:space="preserve"> Conformity declaration, the Contractor shall declare that his product conforms to the requirements of EN 13830.</w:t>
      </w:r>
    </w:p>
    <w:p>
      <w:pPr>
        <w:pStyle w:val="Standard"/>
        <w:spacing w:after="0"/>
        <w:jc w:val="both"/>
        <w:rPr>
          <w:rFonts w:ascii="Helvetica" w:cs="Helvetica" w:hAnsi="Helvetica" w:eastAsia="Helvetica"/>
          <w:b w:val="1"/>
          <w:bCs w:val="1"/>
          <w:sz w:val="20"/>
          <w:szCs w:val="20"/>
          <w:lang w:val="en-US"/>
        </w:rPr>
      </w:pPr>
    </w:p>
    <w:p>
      <w:pPr>
        <w:pStyle w:val="Standard"/>
        <w:spacing w:after="0"/>
        <w:jc w:val="both"/>
        <w:rPr>
          <w:rFonts w:ascii="Helvetica" w:cs="Helvetica" w:hAnsi="Helvetica" w:eastAsia="Helvetica"/>
          <w:b w:val="1"/>
          <w:bCs w:val="1"/>
          <w:sz w:val="20"/>
          <w:szCs w:val="20"/>
          <w:lang w:val="en-US"/>
        </w:rPr>
      </w:pPr>
    </w:p>
    <w:p>
      <w:pPr>
        <w:pStyle w:val="Standard"/>
        <w:spacing w:after="0"/>
        <w:jc w:val="both"/>
        <w:rPr>
          <w:rFonts w:ascii="Helvetica" w:cs="Helvetica" w:hAnsi="Helvetica" w:eastAsia="Helvetica"/>
          <w:b w:val="1"/>
          <w:bCs w:val="1"/>
          <w:sz w:val="20"/>
          <w:szCs w:val="20"/>
          <w:lang w:val="en-US"/>
        </w:rPr>
      </w:pPr>
    </w:p>
    <w:p>
      <w:pPr>
        <w:pStyle w:val="Standard"/>
        <w:spacing w:after="0"/>
        <w:jc w:val="both"/>
        <w:rPr>
          <w:rFonts w:ascii="Helvetica" w:cs="Helvetica" w:hAnsi="Helvetica" w:eastAsia="Helvetica"/>
          <w:b w:val="1"/>
          <w:bCs w:val="1"/>
          <w:sz w:val="20"/>
          <w:szCs w:val="20"/>
          <w:lang w:val="en-US"/>
        </w:rPr>
      </w:pPr>
      <w:r>
        <w:rPr>
          <w:rFonts w:ascii="Helvetica" w:hAnsi="Helvetica"/>
          <w:b w:val="1"/>
          <w:bCs w:val="1"/>
          <w:sz w:val="20"/>
          <w:szCs w:val="20"/>
          <w:rtl w:val="0"/>
          <w:lang w:val="en-US"/>
        </w:rPr>
        <w:t>Load-</w:t>
      </w:r>
      <w:r>
        <w:rPr>
          <w:rFonts w:ascii="Helvetica" w:hAnsi="Helvetica"/>
          <w:b w:val="1"/>
          <w:bCs w:val="1"/>
          <w:sz w:val="20"/>
          <w:szCs w:val="20"/>
          <w:rtl w:val="0"/>
          <w:lang w:val="en-US"/>
        </w:rPr>
        <w:t>B</w:t>
      </w:r>
      <w:r>
        <w:rPr>
          <w:rFonts w:ascii="Helvetica" w:hAnsi="Helvetica"/>
          <w:b w:val="1"/>
          <w:bCs w:val="1"/>
          <w:sz w:val="20"/>
          <w:szCs w:val="20"/>
          <w:rtl w:val="0"/>
          <w:lang w:val="en-US"/>
        </w:rPr>
        <w:t xml:space="preserve">earing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Wind pressure on external building parts conform to DIN 1055, T 4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Specifications for buildings with rectangular ground plan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Wind zone: II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Ground category: III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Building height: 10 m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Installation height: 10 m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Building width: 45 m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Building depth: 62 m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 xml:space="preserve">Horizontal load (side forces) to DIN 1055, Part 3 </w:t>
      </w:r>
    </w:p>
    <w:p>
      <w:pPr>
        <w:pStyle w:val="Standard"/>
        <w:spacing w:after="0"/>
        <w:jc w:val="both"/>
        <w:rPr>
          <w:rFonts w:ascii="Helvetica" w:cs="Helvetica" w:hAnsi="Helvetica" w:eastAsia="Helvetica"/>
          <w:sz w:val="20"/>
          <w:szCs w:val="20"/>
          <w:lang w:val="en-US"/>
        </w:rPr>
      </w:pPr>
      <w:r>
        <w:rPr>
          <w:rFonts w:ascii="Helvetica" w:hAnsi="Helvetica"/>
          <w:sz w:val="20"/>
          <w:szCs w:val="20"/>
          <w:rtl w:val="0"/>
          <w:lang w:val="en-US"/>
        </w:rPr>
        <w:t>Additional loads: 1.0 kN/m effective in: parapet height</w:t>
      </w:r>
    </w:p>
    <w:p>
      <w:pPr>
        <w:pStyle w:val="Standard"/>
        <w:jc w:val="both"/>
        <w:rPr>
          <w:rFonts w:ascii="Helvetica" w:cs="Helvetica" w:hAnsi="Helvetica" w:eastAsia="Helvetica"/>
          <w:sz w:val="20"/>
          <w:szCs w:val="20"/>
          <w:lang w:val="en-US"/>
        </w:rPr>
      </w:pPr>
    </w:p>
    <w:p>
      <w:pPr>
        <w:pStyle w:val="Standard"/>
        <w:jc w:val="both"/>
        <w:rPr>
          <w:rFonts w:ascii="Helvetica" w:cs="Helvetica" w:hAnsi="Helvetica" w:eastAsia="Helvetica"/>
          <w:sz w:val="20"/>
          <w:szCs w:val="20"/>
          <w:lang w:val="en-US"/>
        </w:rPr>
      </w:pPr>
      <w:r>
        <w:rPr>
          <w:rFonts w:ascii="Helvetica" w:hAnsi="Helvetica"/>
          <w:b w:val="1"/>
          <w:bCs w:val="1"/>
          <w:sz w:val="20"/>
          <w:szCs w:val="20"/>
          <w:rtl w:val="0"/>
          <w:lang w:val="en-US"/>
        </w:rPr>
        <w:t>Conception</w:t>
      </w:r>
      <w:r>
        <w:rPr>
          <w:rFonts w:ascii="Helvetica" w:hAnsi="Helvetica"/>
          <w:b w:val="1"/>
          <w:bCs w:val="1"/>
          <w:sz w:val="20"/>
          <w:szCs w:val="20"/>
          <w:rtl w:val="0"/>
          <w:lang w:val="en-US"/>
        </w:rPr>
        <w:t>al</w:t>
      </w:r>
      <w:r>
        <w:rPr>
          <w:rFonts w:ascii="Helvetica" w:hAnsi="Helvetica"/>
          <w:b w:val="1"/>
          <w:bCs w:val="1"/>
          <w:sz w:val="20"/>
          <w:szCs w:val="20"/>
          <w:rtl w:val="0"/>
          <w:lang w:val="en-US"/>
        </w:rPr>
        <w:t xml:space="preserve"> </w:t>
      </w:r>
      <w:r>
        <w:rPr>
          <w:rFonts w:ascii="Helvetica" w:hAnsi="Helvetica"/>
          <w:b w:val="1"/>
          <w:bCs w:val="1"/>
          <w:sz w:val="20"/>
          <w:szCs w:val="20"/>
          <w:rtl w:val="0"/>
          <w:lang w:val="en-US"/>
        </w:rPr>
        <w:t>B</w:t>
      </w:r>
      <w:r>
        <w:rPr>
          <w:rFonts w:ascii="Helvetica" w:hAnsi="Helvetica"/>
          <w:b w:val="1"/>
          <w:bCs w:val="1"/>
          <w:sz w:val="20"/>
          <w:szCs w:val="20"/>
          <w:rtl w:val="0"/>
          <w:lang w:val="en-US"/>
        </w:rPr>
        <w:t xml:space="preserve">ases </w:t>
      </w:r>
    </w:p>
    <w:p>
      <w:pPr>
        <w:pStyle w:val="Standard"/>
        <w:jc w:val="both"/>
        <w:rPr>
          <w:rFonts w:ascii="Helvetica" w:cs="Helvetica" w:hAnsi="Helvetica" w:eastAsia="Helvetica"/>
          <w:sz w:val="20"/>
          <w:szCs w:val="20"/>
          <w:lang w:val="en-US"/>
        </w:rPr>
      </w:pPr>
      <w:r>
        <w:rPr>
          <w:rFonts w:ascii="Helvetica" w:hAnsi="Helvetica"/>
          <w:sz w:val="20"/>
          <w:szCs w:val="20"/>
          <w:rtl w:val="0"/>
          <w:lang w:val="en-US"/>
        </w:rPr>
        <w:t>The design systems described below define the formal and technical minimum requirements for window and/or fa</w:t>
      </w:r>
      <w:r>
        <w:rPr>
          <w:rFonts w:ascii="Helvetica" w:hAnsi="Helvetica" w:hint="default"/>
          <w:sz w:val="20"/>
          <w:szCs w:val="20"/>
          <w:rtl w:val="0"/>
          <w:lang w:val="en-US"/>
        </w:rPr>
        <w:t>ç</w:t>
      </w:r>
      <w:r>
        <w:rPr>
          <w:rFonts w:ascii="Helvetica" w:hAnsi="Helvetica"/>
          <w:sz w:val="20"/>
          <w:szCs w:val="20"/>
          <w:rtl w:val="0"/>
          <w:lang w:val="en-US"/>
        </w:rPr>
        <w:t>ade constructions. Processing must always be in conformity with the currently valid processing guidelines and specifications of the system manufacturer. The choice of profiles, accessories, seals</w:t>
      </w:r>
      <w:r>
        <w:rPr>
          <w:rFonts w:ascii="Helvetica" w:hAnsi="Helvetica"/>
          <w:sz w:val="20"/>
          <w:szCs w:val="20"/>
          <w:rtl w:val="0"/>
          <w:lang w:val="en-US"/>
        </w:rPr>
        <w:t>,</w:t>
      </w:r>
      <w:r>
        <w:rPr>
          <w:rFonts w:ascii="Helvetica" w:hAnsi="Helvetica"/>
          <w:sz w:val="20"/>
          <w:szCs w:val="20"/>
          <w:rtl w:val="0"/>
          <w:lang w:val="en-US"/>
        </w:rPr>
        <w:t xml:space="preserve"> and fittings must be carried out according to the valid documentation of the system manufacturer. The use of the named articles when obtained from different suppliers is excluded from the "System Guarantee". The fundamental concept with readable technical and form requirements is a binding basis for the quotation and defines the minimum quality. With this as the basis, the Bidder nevertheless has the freedom of offering alternative profiles and systems insofar as these also meet the specified requirements. </w:t>
      </w:r>
    </w:p>
    <w:p>
      <w:pPr>
        <w:pStyle w:val="Standard"/>
        <w:jc w:val="both"/>
        <w:rPr>
          <w:rFonts w:ascii="Helvetica" w:cs="Helvetica" w:hAnsi="Helvetica" w:eastAsia="Helvetica"/>
          <w:b w:val="1"/>
          <w:bCs w:val="1"/>
          <w:sz w:val="20"/>
          <w:szCs w:val="20"/>
          <w:lang w:val="en-US"/>
        </w:rPr>
      </w:pPr>
    </w:p>
    <w:p>
      <w:pPr>
        <w:pStyle w:val="Standard"/>
        <w:jc w:val="both"/>
        <w:rPr>
          <w:rFonts w:ascii="Helvetica" w:cs="Helvetica" w:hAnsi="Helvetica" w:eastAsia="Helvetica"/>
          <w:sz w:val="20"/>
          <w:szCs w:val="20"/>
          <w:lang w:val="en-US"/>
        </w:rPr>
      </w:pPr>
      <w:r>
        <w:rPr>
          <w:rFonts w:ascii="Helvetica" w:hAnsi="Helvetica"/>
          <w:b w:val="1"/>
          <w:bCs w:val="1"/>
          <w:sz w:val="20"/>
          <w:szCs w:val="20"/>
          <w:rtl w:val="0"/>
          <w:lang w:val="en-US"/>
        </w:rPr>
        <w:t xml:space="preserve">Statements of the Bidder </w:t>
      </w:r>
    </w:p>
    <w:p>
      <w:pPr>
        <w:pStyle w:val="Standard"/>
        <w:jc w:val="both"/>
        <w:rPr>
          <w:rFonts w:ascii="Helvetica" w:cs="Helvetica" w:hAnsi="Helvetica" w:eastAsia="Helvetica"/>
          <w:sz w:val="20"/>
          <w:szCs w:val="20"/>
          <w:lang w:val="en-US"/>
        </w:rPr>
      </w:pPr>
      <w:r>
        <w:rPr>
          <w:rFonts w:ascii="Helvetica" w:hAnsi="Helvetica"/>
          <w:sz w:val="20"/>
          <w:szCs w:val="20"/>
          <w:rtl w:val="0"/>
          <w:lang w:val="en-US"/>
        </w:rPr>
        <w:t xml:space="preserve">Offered system: batimet TA35 '.........................' </w:t>
      </w:r>
    </w:p>
    <w:p>
      <w:pPr>
        <w:pStyle w:val="Standard"/>
        <w:jc w:val="both"/>
        <w:rPr>
          <w:rFonts w:ascii="Helvetica" w:cs="Helvetica" w:hAnsi="Helvetica" w:eastAsia="Helvetica"/>
          <w:sz w:val="20"/>
          <w:szCs w:val="20"/>
          <w:lang w:val="en-US"/>
        </w:rPr>
      </w:pPr>
      <w:r>
        <w:rPr>
          <w:rFonts w:ascii="Helvetica" w:hAnsi="Helvetica"/>
          <w:sz w:val="20"/>
          <w:szCs w:val="20"/>
          <w:rtl w:val="0"/>
          <w:lang w:val="en-US"/>
        </w:rPr>
        <w:t>Profile series PR fa</w:t>
      </w:r>
      <w:r>
        <w:rPr>
          <w:rFonts w:ascii="Helvetica" w:hAnsi="Helvetica" w:hint="default"/>
          <w:sz w:val="20"/>
          <w:szCs w:val="20"/>
          <w:rtl w:val="0"/>
          <w:lang w:val="en-US"/>
        </w:rPr>
        <w:t>ç</w:t>
      </w:r>
      <w:r>
        <w:rPr>
          <w:rFonts w:ascii="Helvetica" w:hAnsi="Helvetica"/>
          <w:sz w:val="20"/>
          <w:szCs w:val="20"/>
          <w:rtl w:val="0"/>
          <w:lang w:val="en-US"/>
        </w:rPr>
        <w:t xml:space="preserve">ade: batimet TM50 SE '.........................' </w:t>
      </w:r>
    </w:p>
    <w:p>
      <w:pPr>
        <w:pStyle w:val="Standard"/>
        <w:jc w:val="both"/>
        <w:rPr>
          <w:rFonts w:ascii="Helvetica" w:cs="Helvetica" w:hAnsi="Helvetica" w:eastAsia="Helvetica"/>
          <w:sz w:val="20"/>
          <w:szCs w:val="20"/>
          <w:lang w:val="en-US"/>
        </w:rPr>
      </w:pPr>
      <w:r>
        <w:rPr>
          <w:rFonts w:ascii="Helvetica" w:hAnsi="Helvetica"/>
          <w:sz w:val="20"/>
          <w:szCs w:val="20"/>
          <w:rtl w:val="0"/>
          <w:lang w:val="en-US"/>
        </w:rPr>
        <w:t xml:space="preserve">Windows: TA35 FB5 '.........................' </w:t>
      </w:r>
    </w:p>
    <w:p>
      <w:pPr>
        <w:pStyle w:val="Standard"/>
        <w:jc w:val="both"/>
        <w:rPr>
          <w:rFonts w:ascii="Helvetica" w:cs="Helvetica" w:hAnsi="Helvetica" w:eastAsia="Helvetica"/>
          <w:sz w:val="20"/>
          <w:szCs w:val="20"/>
          <w:lang w:val="en-US"/>
        </w:rPr>
      </w:pPr>
      <w:r>
        <w:rPr>
          <w:rFonts w:ascii="Helvetica" w:hAnsi="Helvetica"/>
          <w:sz w:val="20"/>
          <w:szCs w:val="20"/>
          <w:rtl w:val="0"/>
          <w:lang w:val="en-US"/>
        </w:rPr>
        <w:t xml:space="preserve">Doors: TA35 DS '.........................' </w:t>
      </w:r>
    </w:p>
    <w:p>
      <w:pPr>
        <w:pStyle w:val="Standard"/>
        <w:jc w:val="both"/>
        <w:rPr>
          <w:rFonts w:ascii="Helvetica" w:cs="Helvetica" w:hAnsi="Helvetica" w:eastAsia="Helvetica"/>
          <w:sz w:val="20"/>
          <w:szCs w:val="20"/>
          <w:lang w:val="en-US"/>
        </w:rPr>
      </w:pPr>
      <w:r>
        <w:rPr>
          <w:rFonts w:ascii="Helvetica" w:hAnsi="Helvetica"/>
          <w:sz w:val="20"/>
          <w:szCs w:val="20"/>
          <w:rtl w:val="0"/>
          <w:lang w:val="en-US"/>
        </w:rPr>
        <w:t xml:space="preserve">Fittings: '.........................' </w:t>
      </w:r>
    </w:p>
    <w:p>
      <w:pPr>
        <w:pStyle w:val="Standard"/>
        <w:jc w:val="both"/>
        <w:rPr>
          <w:rFonts w:ascii="Helvetica" w:cs="Helvetica" w:hAnsi="Helvetica" w:eastAsia="Helvetica"/>
          <w:sz w:val="20"/>
          <w:szCs w:val="20"/>
          <w:lang w:val="en-US"/>
        </w:rPr>
      </w:pPr>
      <w:r>
        <w:rPr>
          <w:rFonts w:ascii="Helvetica" w:hAnsi="Helvetica"/>
          <w:sz w:val="20"/>
          <w:szCs w:val="20"/>
          <w:rtl w:val="0"/>
          <w:lang w:val="en-US"/>
        </w:rPr>
        <w:t xml:space="preserve">Panels: '.........................' </w:t>
      </w:r>
    </w:p>
    <w:p>
      <w:pPr>
        <w:pStyle w:val="Standard"/>
        <w:jc w:val="both"/>
        <w:rPr>
          <w:rFonts w:ascii="Helvetica" w:cs="Helvetica" w:hAnsi="Helvetica" w:eastAsia="Helvetica"/>
          <w:sz w:val="20"/>
          <w:szCs w:val="20"/>
          <w:lang w:val="en-US"/>
        </w:rPr>
      </w:pPr>
      <w:r>
        <w:rPr>
          <w:rFonts w:ascii="Helvetica" w:hAnsi="Helvetica"/>
          <w:sz w:val="20"/>
          <w:szCs w:val="20"/>
          <w:rtl w:val="0"/>
          <w:lang w:val="en-US"/>
        </w:rPr>
        <w:t xml:space="preserve">Glass manufacturer: '.........................' </w:t>
      </w:r>
    </w:p>
    <w:p>
      <w:pPr>
        <w:pStyle w:val="Standard"/>
        <w:jc w:val="both"/>
        <w:rPr>
          <w:rFonts w:ascii="Helvetica" w:cs="Helvetica" w:hAnsi="Helvetica" w:eastAsia="Helvetica"/>
          <w:sz w:val="20"/>
          <w:szCs w:val="20"/>
          <w:lang w:val="en-US"/>
        </w:rPr>
      </w:pPr>
      <w:r>
        <w:rPr>
          <w:rFonts w:ascii="Helvetica" w:hAnsi="Helvetica"/>
          <w:sz w:val="20"/>
          <w:szCs w:val="20"/>
          <w:rtl w:val="0"/>
          <w:lang w:val="en-US"/>
        </w:rPr>
        <w:t xml:space="preserve">Motors/drive systems: '.........................' </w:t>
      </w:r>
    </w:p>
    <w:p>
      <w:pPr>
        <w:pStyle w:val="Standard"/>
        <w:jc w:val="both"/>
        <w:rPr>
          <w:rFonts w:ascii="Helvetica" w:cs="Helvetica" w:hAnsi="Helvetica" w:eastAsia="Helvetica"/>
          <w:sz w:val="20"/>
          <w:szCs w:val="20"/>
          <w:lang w:val="en-US"/>
        </w:rPr>
      </w:pPr>
    </w:p>
    <w:p>
      <w:pPr>
        <w:pStyle w:val="Standard"/>
        <w:jc w:val="both"/>
        <w:rPr>
          <w:rFonts w:ascii="Helvetica" w:cs="Helvetica" w:hAnsi="Helvetica" w:eastAsia="Helvetica"/>
          <w:b w:val="1"/>
          <w:bCs w:val="1"/>
          <w:sz w:val="20"/>
          <w:szCs w:val="20"/>
          <w:lang w:val="en-US"/>
        </w:rPr>
      </w:pPr>
      <w:r>
        <w:rPr>
          <w:rFonts w:ascii="Helvetica" w:hAnsi="Helvetica"/>
          <w:b w:val="1"/>
          <w:bCs w:val="1"/>
          <w:sz w:val="20"/>
          <w:szCs w:val="20"/>
          <w:rtl w:val="0"/>
          <w:lang w:val="en-US"/>
        </w:rPr>
        <w:t xml:space="preserve">Note on </w:t>
      </w:r>
      <w:r>
        <w:rPr>
          <w:rFonts w:ascii="Helvetica" w:hAnsi="Helvetica"/>
          <w:b w:val="1"/>
          <w:bCs w:val="1"/>
          <w:sz w:val="20"/>
          <w:szCs w:val="20"/>
          <w:rtl w:val="0"/>
          <w:lang w:val="en-US"/>
        </w:rPr>
        <w:t>P</w:t>
      </w:r>
      <w:r>
        <w:rPr>
          <w:rFonts w:ascii="Helvetica" w:hAnsi="Helvetica"/>
          <w:b w:val="1"/>
          <w:bCs w:val="1"/>
          <w:sz w:val="20"/>
          <w:szCs w:val="20"/>
          <w:rtl w:val="0"/>
          <w:lang w:val="en-US"/>
        </w:rPr>
        <w:t xml:space="preserve">rofile </w:t>
      </w:r>
      <w:r>
        <w:rPr>
          <w:rFonts w:ascii="Helvetica" w:hAnsi="Helvetica"/>
          <w:b w:val="1"/>
          <w:bCs w:val="1"/>
          <w:sz w:val="20"/>
          <w:szCs w:val="20"/>
          <w:rtl w:val="0"/>
          <w:lang w:val="en-US"/>
        </w:rPr>
        <w:t>M</w:t>
      </w:r>
      <w:r>
        <w:rPr>
          <w:rFonts w:ascii="Helvetica" w:hAnsi="Helvetica"/>
          <w:b w:val="1"/>
          <w:bCs w:val="1"/>
          <w:sz w:val="20"/>
          <w:szCs w:val="20"/>
          <w:rtl w:val="0"/>
          <w:lang w:val="en-US"/>
        </w:rPr>
        <w:t xml:space="preserve">easurements </w:t>
      </w:r>
    </w:p>
    <w:p>
      <w:pPr>
        <w:pStyle w:val="Standard"/>
        <w:spacing w:after="0"/>
        <w:jc w:val="both"/>
      </w:pPr>
      <w:r>
        <w:rPr>
          <w:rFonts w:ascii="Helvetica" w:hAnsi="Helvetica"/>
          <w:sz w:val="20"/>
          <w:szCs w:val="20"/>
          <w:rtl w:val="0"/>
          <w:lang w:val="en-US"/>
        </w:rPr>
        <w:t xml:space="preserve">Details of profile measurements (building depth and </w:t>
      </w:r>
      <w:r>
        <w:rPr>
          <w:rFonts w:ascii="Helvetica" w:hAnsi="Helvetica"/>
          <w:sz w:val="20"/>
          <w:szCs w:val="20"/>
          <w:rtl w:val="0"/>
          <w:lang w:val="en-US"/>
        </w:rPr>
        <w:t>elevations</w:t>
      </w:r>
      <w:r>
        <w:rPr>
          <w:rFonts w:ascii="Helvetica" w:hAnsi="Helvetica"/>
          <w:sz w:val="20"/>
          <w:szCs w:val="20"/>
          <w:rtl w:val="0"/>
          <w:lang w:val="en-US"/>
        </w:rPr>
        <w:t xml:space="preserve">) and the design features shall be taken into account. Possible deviations are listed in the respective position descriptions. The profile building depths must be dimensioned according to static requirements insofar as not otherwise specified. Form profile dimensions required by the Principal do not release the Contractor from the obligation of examination with provision of appropriate evidence. </w:t>
      </w:r>
      <w:r>
        <w:rPr>
          <w:rFonts w:ascii="Helvetica" w:hAnsi="Helvetica"/>
          <w:sz w:val="20"/>
          <w:szCs w:val="20"/>
          <w:rtl w:val="0"/>
          <w:lang w:val="en-US"/>
        </w:rPr>
        <w:t xml:space="preserve">If necessary, reinforced profiles for reasons of statics and/form are not named here. Statics measurement of the </w:t>
      </w:r>
      <w:r>
        <w:rPr>
          <w:rFonts w:ascii="Helvetica" w:hAnsi="Helvetica"/>
          <w:sz w:val="20"/>
          <w:szCs w:val="20"/>
          <w:rtl w:val="0"/>
          <w:lang w:val="en-US"/>
        </w:rPr>
        <w:t xml:space="preserve">system including anchoring is undertaken by the Contractor. </w:t>
      </w:r>
    </w:p>
    <w:sectPr>
      <w:headerReference w:type="default" r:id="rId5"/>
      <w:footerReference w:type="default" r:id="rId6"/>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Standard">
    <w:name w:val="Standard"/>
    <w:next w:val="Standard"/>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