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tandard"/>
        <w:jc w:val="both"/>
        <w:rPr>
          <w:rFonts w:ascii="Helvetica" w:hAnsi="Helvetica"/>
          <w:sz w:val="20"/>
          <w:szCs w:val="20"/>
          <w:lang w:val="en-US"/>
        </w:rPr>
      </w:pPr>
    </w:p>
    <w:p>
      <w:pPr>
        <w:pStyle w:val="Standard"/>
        <w:jc w:val="both"/>
        <w:rPr>
          <w:rFonts w:ascii="Helvetica" w:cs="Helvetica" w:hAnsi="Helvetica" w:eastAsia="Helvetica"/>
          <w:sz w:val="20"/>
          <w:szCs w:val="20"/>
          <w:lang w:val="en-US"/>
        </w:rPr>
      </w:pPr>
      <w:r>
        <w:rPr>
          <w:rFonts w:ascii="Helvetica" w:hAnsi="Helvetica"/>
          <w:b w:val="1"/>
          <w:bCs w:val="1"/>
          <w:sz w:val="20"/>
          <w:szCs w:val="20"/>
          <w:rtl w:val="0"/>
          <w:lang w:val="en-US"/>
        </w:rPr>
        <w:t>GT Glazing (</w:t>
      </w:r>
      <w:r>
        <w:rPr>
          <w:rFonts w:ascii="Helvetica" w:hAnsi="Helvetica"/>
          <w:b w:val="1"/>
          <w:bCs w:val="1"/>
          <w:sz w:val="20"/>
          <w:szCs w:val="20"/>
          <w:rtl w:val="0"/>
          <w:lang w:val="en-US"/>
        </w:rPr>
        <w:t>F</w:t>
      </w:r>
      <w:r>
        <w:rPr>
          <w:rFonts w:ascii="Helvetica" w:hAnsi="Helvetica"/>
          <w:b w:val="1"/>
          <w:bCs w:val="1"/>
          <w:sz w:val="20"/>
          <w:szCs w:val="20"/>
          <w:rtl w:val="0"/>
          <w:lang w:val="en-US"/>
        </w:rPr>
        <w:t xml:space="preserve">ormal </w:t>
      </w:r>
      <w:r>
        <w:rPr>
          <w:rFonts w:ascii="Helvetica" w:hAnsi="Helvetica"/>
          <w:b w:val="1"/>
          <w:bCs w:val="1"/>
          <w:sz w:val="20"/>
          <w:szCs w:val="20"/>
          <w:rtl w:val="0"/>
          <w:lang w:val="en-US"/>
        </w:rPr>
        <w:t>R</w:t>
      </w:r>
      <w:r>
        <w:rPr>
          <w:rFonts w:ascii="Helvetica" w:hAnsi="Helvetica"/>
          <w:b w:val="1"/>
          <w:bCs w:val="1"/>
          <w:sz w:val="20"/>
          <w:szCs w:val="20"/>
          <w:rtl w:val="0"/>
          <w:lang w:val="en-US"/>
        </w:rPr>
        <w:t>egulations)</w:t>
      </w:r>
      <w:r>
        <w:rPr>
          <w:rFonts w:ascii="Helvetica" w:cs="Helvetica" w:hAnsi="Helvetica" w:eastAsia="Helvetica"/>
          <w:b w:val="1"/>
          <w:bCs w:val="1"/>
          <w:sz w:val="20"/>
          <w:szCs w:val="20"/>
          <w:lang w:val="en-US"/>
        </w:rPr>
        <w:drawing>
          <wp:anchor distT="152400" distB="152400" distL="152400" distR="152400" simplePos="0" relativeHeight="251659264" behindDoc="0" locked="0" layoutInCell="1" allowOverlap="1">
            <wp:simplePos x="0" y="0"/>
            <wp:positionH relativeFrom="margin">
              <wp:posOffset>3893510</wp:posOffset>
            </wp:positionH>
            <wp:positionV relativeFrom="page">
              <wp:posOffset>289560</wp:posOffset>
            </wp:positionV>
            <wp:extent cx="1857050" cy="420584"/>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4">
                      <a:extLst/>
                    </a:blip>
                    <a:stretch>
                      <a:fillRect/>
                    </a:stretch>
                  </pic:blipFill>
                  <pic:spPr>
                    <a:xfrm>
                      <a:off x="0" y="0"/>
                      <a:ext cx="1857050" cy="420584"/>
                    </a:xfrm>
                    <a:prstGeom prst="rect">
                      <a:avLst/>
                    </a:prstGeom>
                    <a:ln w="12700" cap="flat">
                      <a:noFill/>
                      <a:miter lim="400000"/>
                    </a:ln>
                    <a:effectLst/>
                  </pic:spPr>
                </pic:pic>
              </a:graphicData>
            </a:graphic>
          </wp:anchor>
        </w:drawing>
      </w:r>
      <w:r>
        <w:rPr>
          <w:rFonts w:ascii="Helvetica" w:hAnsi="Helvetica"/>
          <w:b w:val="1"/>
          <w:bCs w:val="1"/>
          <w:sz w:val="20"/>
          <w:szCs w:val="20"/>
          <w:rtl w:val="0"/>
          <w:lang w:val="en-US"/>
        </w:rPr>
        <w:t xml:space="preserve"> </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The following description represents the general regulations for the supply and installation of glazing in wood-aluminium building elements. The dimensions specified in the text performance descriptions relate to standard wood </w:t>
      </w:r>
      <w:r>
        <w:rPr>
          <w:rFonts w:ascii="Helvetica" w:hAnsi="Helvetica" w:hint="default"/>
          <w:sz w:val="20"/>
          <w:szCs w:val="20"/>
          <w:rtl w:val="0"/>
          <w:lang w:val="en-US"/>
        </w:rPr>
        <w:t xml:space="preserve">– </w:t>
      </w:r>
      <w:r>
        <w:rPr>
          <w:rFonts w:ascii="Helvetica" w:hAnsi="Helvetica"/>
          <w:sz w:val="20"/>
          <w:szCs w:val="20"/>
          <w:rtl w:val="0"/>
          <w:lang w:val="en-US"/>
        </w:rPr>
        <w:t xml:space="preserve">aluminium elements. </w:t>
      </w:r>
    </w:p>
    <w:p>
      <w:pPr>
        <w:pStyle w:val="Standard"/>
        <w:spacing w:after="0"/>
        <w:jc w:val="both"/>
        <w:rPr>
          <w:rFonts w:ascii="Helvetica" w:cs="Helvetica" w:hAnsi="Helvetica" w:eastAsia="Helvetica"/>
          <w:sz w:val="20"/>
          <w:szCs w:val="20"/>
          <w:lang w:val="en-US"/>
        </w:rPr>
      </w:pP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Costs for the determination of glass pane measurements are calculated under the quotation prices and there shall be no extra remuneration for this. Included under the scope of delivery of glazing works are all necessary seals, sealants</w:t>
      </w:r>
      <w:r>
        <w:rPr>
          <w:rFonts w:ascii="Helvetica" w:hAnsi="Helvetica"/>
          <w:sz w:val="20"/>
          <w:szCs w:val="20"/>
          <w:rtl w:val="0"/>
          <w:lang w:val="en-US"/>
        </w:rPr>
        <w:t>,</w:t>
      </w:r>
      <w:r>
        <w:rPr>
          <w:rFonts w:ascii="Helvetica" w:hAnsi="Helvetica"/>
          <w:sz w:val="20"/>
          <w:szCs w:val="20"/>
          <w:rtl w:val="0"/>
          <w:lang w:val="en-US"/>
        </w:rPr>
        <w:t xml:space="preserve"> and their installation including the corner joints and other points of contact which must be sealed. Further, all required sealants, glass supports</w:t>
      </w:r>
      <w:r>
        <w:rPr>
          <w:rFonts w:ascii="Helvetica" w:hAnsi="Helvetica"/>
          <w:sz w:val="20"/>
          <w:szCs w:val="20"/>
          <w:rtl w:val="0"/>
          <w:lang w:val="en-US"/>
        </w:rPr>
        <w:t>,</w:t>
      </w:r>
      <w:r>
        <w:rPr>
          <w:rFonts w:ascii="Helvetica" w:hAnsi="Helvetica"/>
          <w:sz w:val="20"/>
          <w:szCs w:val="20"/>
          <w:rtl w:val="0"/>
          <w:lang w:val="en-US"/>
        </w:rPr>
        <w:t xml:space="preserve"> and claddings are also included under the terms of supply. Thickness of individual panes must be determined by the Contractor in conformity to the size of panes and their load-bearing capacities as set forth in the measurement tables of the glass manufacturer. In the case of safety glass, the TRAV "Technical Regulations for the use of Safety Glazing" must be observed. Further, the provisions of the respective LBO "Landesbauordnungen" [</w:t>
      </w:r>
      <w:r>
        <w:rPr>
          <w:rFonts w:ascii="Helvetica" w:hAnsi="Helvetica"/>
          <w:i w:val="1"/>
          <w:iCs w:val="1"/>
          <w:sz w:val="20"/>
          <w:szCs w:val="20"/>
          <w:rtl w:val="0"/>
          <w:lang w:val="en-US"/>
        </w:rPr>
        <w:t>State Building Regulations</w:t>
      </w:r>
      <w:r>
        <w:rPr>
          <w:rFonts w:ascii="Helvetica" w:hAnsi="Helvetica"/>
          <w:sz w:val="20"/>
          <w:szCs w:val="20"/>
          <w:rtl w:val="0"/>
          <w:lang w:val="en-US"/>
        </w:rPr>
        <w:t xml:space="preserve">] must also be observed. </w:t>
      </w:r>
    </w:p>
    <w:p>
      <w:pPr>
        <w:pStyle w:val="Standard"/>
        <w:jc w:val="both"/>
        <w:rPr>
          <w:rFonts w:ascii="Helvetica" w:cs="Helvetica" w:hAnsi="Helvetica" w:eastAsia="Helvetica"/>
          <w:sz w:val="20"/>
          <w:szCs w:val="20"/>
        </w:rPr>
      </w:pPr>
      <w:r>
        <w:rPr>
          <w:rFonts w:ascii="Helvetica" w:hAnsi="Helvetica"/>
          <w:sz w:val="20"/>
          <w:szCs w:val="20"/>
          <w:rtl w:val="0"/>
          <w:lang w:val="en-US"/>
        </w:rPr>
        <w:t>There shall be a description for the execution of planned glass types.</w:t>
      </w:r>
      <w:r>
        <w:rPr>
          <w:rFonts w:ascii="Helvetica" w:hAnsi="Helvetica"/>
          <w:sz w:val="20"/>
          <w:szCs w:val="20"/>
          <w:rtl w:val="0"/>
          <w:lang w:val="en-US"/>
        </w:rPr>
        <w:t xml:space="preserve"> The item descriptions only name the glass type to be used (GT). Assembly data are always described in sequence from outside to inside.</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Suitability of the proposed glass assemblies shall be examined by the Contractor in respect of the individual application for the type of glass, thickness of glass</w:t>
      </w:r>
      <w:r>
        <w:rPr>
          <w:rFonts w:ascii="Helvetica" w:hAnsi="Helvetica"/>
          <w:sz w:val="20"/>
          <w:szCs w:val="20"/>
          <w:rtl w:val="0"/>
          <w:lang w:val="en-US"/>
        </w:rPr>
        <w:t>,</w:t>
      </w:r>
      <w:r>
        <w:rPr>
          <w:rFonts w:ascii="Helvetica" w:hAnsi="Helvetica"/>
          <w:sz w:val="20"/>
          <w:szCs w:val="20"/>
          <w:rtl w:val="0"/>
          <w:lang w:val="en-US"/>
        </w:rPr>
        <w:t xml:space="preserve"> and dimensions. In particular</w:t>
      </w:r>
      <w:r>
        <w:rPr>
          <w:rFonts w:ascii="Helvetica" w:hAnsi="Helvetica"/>
          <w:sz w:val="20"/>
          <w:szCs w:val="20"/>
          <w:rtl w:val="0"/>
          <w:lang w:val="en-US"/>
        </w:rPr>
        <w:t>,</w:t>
      </w:r>
      <w:r>
        <w:rPr>
          <w:rFonts w:ascii="Helvetica" w:hAnsi="Helvetica"/>
          <w:sz w:val="20"/>
          <w:szCs w:val="20"/>
          <w:rtl w:val="0"/>
          <w:lang w:val="en-US"/>
        </w:rPr>
        <w:t xml:space="preserve"> this relates to the requirements of the respective state building regulations and the building industry associations or other applicable directives. </w:t>
      </w:r>
    </w:p>
    <w:p>
      <w:pPr>
        <w:pStyle w:val="Standard"/>
        <w:spacing w:after="0"/>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GT 101 Heat </w:t>
      </w:r>
      <w:r>
        <w:rPr>
          <w:rFonts w:ascii="Helvetica" w:hAnsi="Helvetica"/>
          <w:b w:val="1"/>
          <w:bCs w:val="1"/>
          <w:sz w:val="20"/>
          <w:szCs w:val="20"/>
          <w:rtl w:val="0"/>
          <w:lang w:val="en-US"/>
        </w:rPr>
        <w:t>Insulated</w:t>
      </w:r>
      <w:r>
        <w:rPr>
          <w:rFonts w:ascii="Helvetica" w:hAnsi="Helvetica"/>
          <w:b w:val="1"/>
          <w:bCs w:val="1"/>
          <w:sz w:val="20"/>
          <w:szCs w:val="20"/>
          <w:rtl w:val="0"/>
          <w:lang w:val="en-US"/>
        </w:rPr>
        <w:t xml:space="preserve"> Triple Glazing </w:t>
      </w:r>
    </w:p>
    <w:p>
      <w:pPr>
        <w:pStyle w:val="Standard"/>
        <w:spacing w:after="0"/>
        <w:jc w:val="both"/>
        <w:rPr>
          <w:rFonts w:ascii="Helvetica" w:cs="Helvetica" w:hAnsi="Helvetica" w:eastAsia="Helvetica"/>
          <w:sz w:val="20"/>
          <w:szCs w:val="20"/>
          <w:lang w:val="en-US"/>
        </w:rPr>
      </w:pP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Float 4 mm/ Argon 14/ Float 4 mm/ Argon 14/ Float 4 mm</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Thermally improved edge </w:t>
      </w:r>
      <w:r>
        <w:rPr>
          <w:rFonts w:ascii="Helvetica" w:hAnsi="Helvetica"/>
          <w:sz w:val="20"/>
          <w:szCs w:val="20"/>
          <w:rtl w:val="0"/>
          <w:lang w:val="en-US"/>
        </w:rPr>
        <w:t>seal</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Total energy permeability </w:t>
      </w:r>
      <w:r>
        <w:rPr>
          <w:rFonts w:ascii="Helvetica" w:hAnsi="Helvetica"/>
          <w:sz w:val="20"/>
          <w:szCs w:val="20"/>
          <w:rtl w:val="0"/>
          <w:lang w:val="en-US"/>
        </w:rPr>
        <w:t xml:space="preserve">(g-value) </w:t>
      </w:r>
      <w:r>
        <w:rPr>
          <w:rFonts w:ascii="Helvetica" w:hAnsi="Helvetica"/>
          <w:sz w:val="20"/>
          <w:szCs w:val="20"/>
          <w:rtl w:val="0"/>
          <w:lang w:val="en-US"/>
        </w:rPr>
        <w:t>g: 50 %</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U-</w:t>
      </w:r>
      <w:r>
        <w:rPr>
          <w:rFonts w:ascii="Helvetica" w:hAnsi="Helvetica"/>
          <w:sz w:val="20"/>
          <w:szCs w:val="20"/>
          <w:rtl w:val="0"/>
          <w:lang w:val="en-US"/>
        </w:rPr>
        <w:t xml:space="preserve">Value </w:t>
      </w:r>
      <w:r>
        <w:rPr>
          <w:rFonts w:ascii="Helvetica" w:hAnsi="Helvetica"/>
          <w:sz w:val="20"/>
          <w:szCs w:val="20"/>
          <w:rtl w:val="0"/>
          <w:lang w:val="en-US"/>
        </w:rPr>
        <w:t>Ug: 0.6 W/m</w:t>
      </w:r>
      <w:r>
        <w:rPr>
          <w:rFonts w:ascii="Helvetica" w:hAnsi="Helvetica" w:hint="default"/>
          <w:sz w:val="20"/>
          <w:szCs w:val="20"/>
          <w:rtl w:val="0"/>
          <w:lang w:val="en-US"/>
        </w:rPr>
        <w:t>²</w:t>
      </w:r>
      <w:r>
        <w:rPr>
          <w:rFonts w:ascii="Helvetica" w:hAnsi="Helvetica"/>
          <w:sz w:val="20"/>
          <w:szCs w:val="20"/>
          <w:rtl w:val="0"/>
          <w:lang w:val="en-US"/>
        </w:rPr>
        <w:t>K according to DIN EN 673.</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 </w:t>
      </w:r>
    </w:p>
    <w:p>
      <w:pPr>
        <w:pStyle w:val="Standard"/>
        <w:spacing w:after="0"/>
        <w:jc w:val="both"/>
        <w:rPr>
          <w:rFonts w:ascii="Helvetica" w:cs="Helvetica" w:hAnsi="Helvetica" w:eastAsia="Helvetica"/>
          <w:sz w:val="20"/>
          <w:szCs w:val="20"/>
          <w:lang w:val="en-US"/>
        </w:rPr>
      </w:pPr>
    </w:p>
    <w:p>
      <w:pPr>
        <w:pStyle w:val="Standard"/>
        <w:spacing w:after="0"/>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GT 112 Heat </w:t>
      </w:r>
      <w:r>
        <w:rPr>
          <w:rFonts w:ascii="Helvetica" w:hAnsi="Helvetica"/>
          <w:b w:val="1"/>
          <w:bCs w:val="1"/>
          <w:sz w:val="20"/>
          <w:szCs w:val="20"/>
          <w:rtl w:val="0"/>
          <w:lang w:val="en-US"/>
        </w:rPr>
        <w:t>Insulated</w:t>
      </w:r>
      <w:r>
        <w:rPr>
          <w:rFonts w:ascii="Helvetica" w:hAnsi="Helvetica"/>
          <w:b w:val="1"/>
          <w:bCs w:val="1"/>
          <w:sz w:val="20"/>
          <w:szCs w:val="20"/>
          <w:rtl w:val="0"/>
          <w:lang w:val="en-US"/>
        </w:rPr>
        <w:t xml:space="preserve"> Triple Glazing</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for fall safety glazing, with possible access of the public according to TRAV (January 2003).</w:t>
      </w:r>
    </w:p>
    <w:p>
      <w:pPr>
        <w:pStyle w:val="Standard"/>
        <w:spacing w:after="0"/>
        <w:jc w:val="both"/>
        <w:rPr>
          <w:rFonts w:ascii="Helvetica" w:cs="Helvetica" w:hAnsi="Helvetica" w:eastAsia="Helvetica"/>
          <w:sz w:val="20"/>
          <w:szCs w:val="20"/>
          <w:lang w:val="en-US"/>
        </w:rPr>
      </w:pP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VSG 8 mm/ Argon 14/ Float 6 mm/ Argon 14/ ESG 8 mm</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Heat-soak test for </w:t>
      </w:r>
      <w:r>
        <w:rPr>
          <w:rFonts w:ascii="Helvetica" w:hAnsi="Helvetica"/>
          <w:sz w:val="20"/>
          <w:szCs w:val="20"/>
          <w:rtl w:val="0"/>
          <w:lang w:val="en-US"/>
        </w:rPr>
        <w:t xml:space="preserve">toughened single-pane </w:t>
      </w:r>
      <w:r>
        <w:rPr>
          <w:rFonts w:ascii="Helvetica" w:hAnsi="Helvetica"/>
          <w:sz w:val="20"/>
          <w:szCs w:val="20"/>
          <w:rtl w:val="0"/>
          <w:lang w:val="en-US"/>
        </w:rPr>
        <w:t xml:space="preserve">safety glass acc. </w:t>
      </w:r>
      <w:r>
        <w:rPr>
          <w:rFonts w:ascii="Helvetica" w:hAnsi="Helvetica"/>
          <w:sz w:val="20"/>
          <w:szCs w:val="20"/>
          <w:rtl w:val="0"/>
          <w:lang w:val="en-US"/>
        </w:rPr>
        <w:t>t</w:t>
      </w:r>
      <w:r>
        <w:rPr>
          <w:rFonts w:ascii="Helvetica" w:hAnsi="Helvetica"/>
          <w:sz w:val="20"/>
          <w:szCs w:val="20"/>
          <w:rtl w:val="0"/>
          <w:lang w:val="en-US"/>
        </w:rPr>
        <w:t>o building regulations list</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Thermally improved edge </w:t>
      </w:r>
      <w:r>
        <w:rPr>
          <w:rFonts w:ascii="Helvetica" w:hAnsi="Helvetica"/>
          <w:sz w:val="20"/>
          <w:szCs w:val="20"/>
          <w:rtl w:val="0"/>
          <w:lang w:val="en-US"/>
        </w:rPr>
        <w:t>seal</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Total energy permeability </w:t>
      </w:r>
      <w:r>
        <w:rPr>
          <w:rFonts w:ascii="Helvetica" w:hAnsi="Helvetica"/>
          <w:sz w:val="20"/>
          <w:szCs w:val="20"/>
          <w:rtl w:val="0"/>
          <w:lang w:val="en-US"/>
        </w:rPr>
        <w:t xml:space="preserve">(g-value) </w:t>
      </w:r>
      <w:r>
        <w:rPr>
          <w:rFonts w:ascii="Helvetica" w:hAnsi="Helvetica"/>
          <w:sz w:val="20"/>
          <w:szCs w:val="20"/>
          <w:rtl w:val="0"/>
          <w:lang w:val="en-US"/>
        </w:rPr>
        <w:t>g: 50 %</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U-</w:t>
      </w:r>
      <w:r>
        <w:rPr>
          <w:rFonts w:ascii="Helvetica" w:hAnsi="Helvetica"/>
          <w:sz w:val="20"/>
          <w:szCs w:val="20"/>
          <w:rtl w:val="0"/>
          <w:lang w:val="en-US"/>
        </w:rPr>
        <w:t>Value</w:t>
      </w:r>
      <w:r>
        <w:rPr>
          <w:rFonts w:ascii="Helvetica" w:cs="Helvetica" w:hAnsi="Helvetica" w:eastAsia="Helvetica"/>
          <w:sz w:val="20"/>
          <w:szCs w:val="20"/>
          <w:lang w:val="en-US"/>
        </w:rPr>
        <w:tab/>
      </w:r>
      <w:r>
        <w:rPr>
          <w:rFonts w:ascii="Helvetica" w:hAnsi="Helvetica"/>
          <w:sz w:val="20"/>
          <w:szCs w:val="20"/>
          <w:rtl w:val="0"/>
          <w:lang w:val="en-US"/>
        </w:rPr>
        <w:t xml:space="preserve"> </w:t>
      </w:r>
      <w:r>
        <w:rPr>
          <w:rFonts w:ascii="Helvetica" w:hAnsi="Helvetica"/>
          <w:sz w:val="20"/>
          <w:szCs w:val="20"/>
          <w:rtl w:val="0"/>
          <w:lang w:val="en-US"/>
        </w:rPr>
        <w:t>Ug: 0.6 W/m</w:t>
      </w:r>
      <w:r>
        <w:rPr>
          <w:rFonts w:ascii="Helvetica" w:hAnsi="Helvetica" w:hint="default"/>
          <w:sz w:val="20"/>
          <w:szCs w:val="20"/>
          <w:rtl w:val="0"/>
          <w:lang w:val="en-US"/>
        </w:rPr>
        <w:t>²</w:t>
      </w:r>
      <w:r>
        <w:rPr>
          <w:rFonts w:ascii="Helvetica" w:hAnsi="Helvetica"/>
          <w:sz w:val="20"/>
          <w:szCs w:val="20"/>
          <w:rtl w:val="0"/>
          <w:lang w:val="en-US"/>
        </w:rPr>
        <w:t>K according to DIN EN 673.</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  </w:t>
      </w:r>
    </w:p>
    <w:p>
      <w:pPr>
        <w:pStyle w:val="Standard"/>
        <w:spacing w:after="0"/>
        <w:jc w:val="both"/>
        <w:rPr>
          <w:rFonts w:ascii="Helvetica" w:cs="Helvetica" w:hAnsi="Helvetica" w:eastAsia="Helvetica"/>
          <w:sz w:val="20"/>
          <w:szCs w:val="20"/>
          <w:lang w:val="en-US"/>
        </w:rPr>
      </w:pPr>
    </w:p>
    <w:p>
      <w:pPr>
        <w:pStyle w:val="Standard"/>
        <w:spacing w:after="0"/>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GT 113 Heat </w:t>
      </w:r>
      <w:r>
        <w:rPr>
          <w:rFonts w:ascii="Helvetica" w:hAnsi="Helvetica"/>
          <w:b w:val="1"/>
          <w:bCs w:val="1"/>
          <w:sz w:val="20"/>
          <w:szCs w:val="20"/>
          <w:rtl w:val="0"/>
          <w:lang w:val="de-DE"/>
        </w:rPr>
        <w:t>Insulated</w:t>
      </w:r>
      <w:r>
        <w:rPr>
          <w:rFonts w:ascii="Helvetica" w:hAnsi="Helvetica"/>
          <w:b w:val="1"/>
          <w:bCs w:val="1"/>
          <w:sz w:val="20"/>
          <w:szCs w:val="20"/>
          <w:rtl w:val="0"/>
          <w:lang w:val="en-US"/>
        </w:rPr>
        <w:t xml:space="preserve"> Triple Glazing</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Accident prevention rules for schools</w:t>
      </w:r>
    </w:p>
    <w:p>
      <w:pPr>
        <w:pStyle w:val="Standard"/>
        <w:spacing w:after="0"/>
        <w:jc w:val="both"/>
        <w:rPr>
          <w:rFonts w:ascii="Helvetica" w:cs="Helvetica" w:hAnsi="Helvetica" w:eastAsia="Helvetica"/>
          <w:sz w:val="20"/>
          <w:szCs w:val="20"/>
          <w:lang w:val="en-US"/>
        </w:rPr>
      </w:pP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VSG 8 mm/ Argon 14/ Float 6 mm/ Argon 14/ ESG 8 mm</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Heat-soak test for </w:t>
      </w:r>
      <w:r>
        <w:rPr>
          <w:rFonts w:ascii="Helvetica" w:hAnsi="Helvetica"/>
          <w:sz w:val="20"/>
          <w:szCs w:val="20"/>
          <w:rtl w:val="0"/>
          <w:lang w:val="en-US"/>
        </w:rPr>
        <w:t>toughened single-pane</w:t>
      </w:r>
      <w:r>
        <w:rPr>
          <w:rFonts w:ascii="Helvetica" w:hAnsi="Helvetica"/>
          <w:sz w:val="20"/>
          <w:szCs w:val="20"/>
          <w:rtl w:val="0"/>
          <w:lang w:val="en-US"/>
        </w:rPr>
        <w:t xml:space="preserve"> safety glass acc. </w:t>
      </w:r>
      <w:r>
        <w:rPr>
          <w:rFonts w:ascii="Helvetica" w:hAnsi="Helvetica"/>
          <w:sz w:val="20"/>
          <w:szCs w:val="20"/>
          <w:rtl w:val="0"/>
          <w:lang w:val="en-US"/>
        </w:rPr>
        <w:t>t</w:t>
      </w:r>
      <w:r>
        <w:rPr>
          <w:rFonts w:ascii="Helvetica" w:hAnsi="Helvetica"/>
          <w:sz w:val="20"/>
          <w:szCs w:val="20"/>
          <w:rtl w:val="0"/>
          <w:lang w:val="en-US"/>
        </w:rPr>
        <w:t>o building regulations list</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Thermally improved edge </w:t>
      </w:r>
      <w:r>
        <w:rPr>
          <w:rFonts w:ascii="Helvetica" w:hAnsi="Helvetica"/>
          <w:sz w:val="20"/>
          <w:szCs w:val="20"/>
          <w:rtl w:val="0"/>
          <w:lang w:val="en-US"/>
        </w:rPr>
        <w:t>seal</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Total energy permeability</w:t>
      </w:r>
      <w:r>
        <w:rPr>
          <w:rFonts w:ascii="Helvetica" w:hAnsi="Helvetica"/>
          <w:sz w:val="20"/>
          <w:szCs w:val="20"/>
          <w:rtl w:val="0"/>
          <w:lang w:val="en-US"/>
        </w:rPr>
        <w:t xml:space="preserve"> (g-value)</w:t>
      </w:r>
      <w:r>
        <w:rPr>
          <w:rFonts w:ascii="Helvetica" w:hAnsi="Helvetica"/>
          <w:sz w:val="20"/>
          <w:szCs w:val="20"/>
          <w:rtl w:val="0"/>
          <w:lang w:val="en-US"/>
        </w:rPr>
        <w:t xml:space="preserve"> g: 50 %</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U-</w:t>
      </w:r>
      <w:r>
        <w:rPr>
          <w:rFonts w:ascii="Helvetica" w:hAnsi="Helvetica"/>
          <w:sz w:val="20"/>
          <w:szCs w:val="20"/>
          <w:rtl w:val="0"/>
          <w:lang w:val="en-US"/>
        </w:rPr>
        <w:t xml:space="preserve">Value </w:t>
      </w:r>
      <w:r>
        <w:rPr>
          <w:rFonts w:ascii="Helvetica" w:hAnsi="Helvetica"/>
          <w:sz w:val="20"/>
          <w:szCs w:val="20"/>
          <w:rtl w:val="0"/>
          <w:lang w:val="en-US"/>
        </w:rPr>
        <w:t>Ug: 0.6 W/m</w:t>
      </w:r>
      <w:r>
        <w:rPr>
          <w:rFonts w:ascii="Helvetica" w:hAnsi="Helvetica" w:hint="default"/>
          <w:sz w:val="20"/>
          <w:szCs w:val="20"/>
          <w:rtl w:val="0"/>
          <w:lang w:val="en-US"/>
        </w:rPr>
        <w:t>²</w:t>
      </w:r>
      <w:r>
        <w:rPr>
          <w:rFonts w:ascii="Helvetica" w:hAnsi="Helvetica"/>
          <w:sz w:val="20"/>
          <w:szCs w:val="20"/>
          <w:rtl w:val="0"/>
          <w:lang w:val="en-US"/>
        </w:rPr>
        <w:t>K according to DIN EN 673.</w:t>
      </w:r>
    </w:p>
    <w:p>
      <w:pPr>
        <w:pStyle w:val="Standard"/>
        <w:spacing w:after="0"/>
        <w:jc w:val="both"/>
        <w:rPr>
          <w:rFonts w:ascii="Helvetica" w:cs="Helvetica" w:hAnsi="Helvetica" w:eastAsia="Helvetica"/>
          <w:b w:val="1"/>
          <w:bCs w:val="1"/>
          <w:sz w:val="20"/>
          <w:szCs w:val="20"/>
          <w:lang w:val="en-US"/>
        </w:rPr>
      </w:pPr>
    </w:p>
    <w:p>
      <w:pPr>
        <w:pStyle w:val="Standard"/>
        <w:spacing w:after="0"/>
        <w:jc w:val="both"/>
        <w:rPr>
          <w:rFonts w:ascii="Helvetica" w:cs="Helvetica" w:hAnsi="Helvetica" w:eastAsia="Helvetica"/>
          <w:sz w:val="20"/>
          <w:szCs w:val="20"/>
          <w:lang w:val="en-US"/>
        </w:rPr>
      </w:pPr>
    </w:p>
    <w:p>
      <w:pPr>
        <w:pStyle w:val="Standard"/>
        <w:spacing w:after="0"/>
        <w:jc w:val="both"/>
        <w:rPr>
          <w:rFonts w:ascii="Helvetica" w:cs="Helvetica" w:hAnsi="Helvetica" w:eastAsia="Helvetica"/>
          <w:sz w:val="20"/>
          <w:szCs w:val="20"/>
          <w:lang w:val="en-US"/>
        </w:rPr>
      </w:pPr>
    </w:p>
    <w:p>
      <w:pPr>
        <w:pStyle w:val="Standard"/>
        <w:spacing w:after="0"/>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GT 115 Heat </w:t>
      </w:r>
      <w:r>
        <w:rPr>
          <w:rFonts w:ascii="Helvetica" w:hAnsi="Helvetica"/>
          <w:b w:val="1"/>
          <w:bCs w:val="1"/>
          <w:sz w:val="20"/>
          <w:szCs w:val="20"/>
          <w:rtl w:val="0"/>
          <w:lang w:val="en-US"/>
        </w:rPr>
        <w:t>Insulated</w:t>
      </w:r>
      <w:r>
        <w:rPr>
          <w:rFonts w:ascii="Helvetica" w:hAnsi="Helvetica"/>
          <w:b w:val="1"/>
          <w:bCs w:val="1"/>
          <w:sz w:val="20"/>
          <w:szCs w:val="20"/>
          <w:rtl w:val="0"/>
          <w:lang w:val="en-US"/>
        </w:rPr>
        <w:t xml:space="preserve"> Triple Glazing</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for doors and floor-bound glazing with possible access of the public</w:t>
      </w:r>
    </w:p>
    <w:p>
      <w:pPr>
        <w:pStyle w:val="Standard"/>
        <w:spacing w:after="0"/>
        <w:jc w:val="both"/>
        <w:rPr>
          <w:rFonts w:ascii="Helvetica" w:cs="Helvetica" w:hAnsi="Helvetica" w:eastAsia="Helvetica"/>
          <w:sz w:val="20"/>
          <w:szCs w:val="20"/>
          <w:lang w:val="en-US"/>
        </w:rPr>
      </w:pPr>
    </w:p>
    <w:p>
      <w:pPr>
        <w:pStyle w:val="Standard"/>
        <w:spacing w:after="0"/>
        <w:jc w:val="both"/>
        <w:rPr>
          <w:rFonts w:ascii="Helvetica" w:cs="Helvetica" w:hAnsi="Helvetica" w:eastAsia="Helvetica"/>
          <w:sz w:val="20"/>
          <w:szCs w:val="20"/>
        </w:rPr>
      </w:pPr>
      <w:r>
        <w:rPr>
          <w:rFonts w:ascii="Helvetica" w:hAnsi="Helvetica"/>
          <w:sz w:val="20"/>
          <w:szCs w:val="20"/>
          <w:rtl w:val="0"/>
          <w:lang w:val="de-DE"/>
        </w:rPr>
        <w:t>VSG 8 mm/ Argon 14/ Float 6 mm/ Argon 14/ ESG 8 mm</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Heat-soak test for </w:t>
      </w:r>
      <w:r>
        <w:rPr>
          <w:rFonts w:ascii="Helvetica" w:hAnsi="Helvetica"/>
          <w:sz w:val="20"/>
          <w:szCs w:val="20"/>
          <w:rtl w:val="0"/>
          <w:lang w:val="en-US"/>
        </w:rPr>
        <w:t xml:space="preserve">toughened </w:t>
      </w:r>
      <w:r>
        <w:rPr>
          <w:rFonts w:ascii="Helvetica" w:hAnsi="Helvetica"/>
          <w:sz w:val="20"/>
          <w:szCs w:val="20"/>
          <w:rtl w:val="0"/>
          <w:lang w:val="en-US"/>
        </w:rPr>
        <w:t>single-pane safety glass acc. to building regulations list</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Total energy permeability</w:t>
      </w:r>
      <w:r>
        <w:rPr>
          <w:rFonts w:ascii="Helvetica" w:hAnsi="Helvetica"/>
          <w:sz w:val="20"/>
          <w:szCs w:val="20"/>
          <w:rtl w:val="0"/>
          <w:lang w:val="en-US"/>
        </w:rPr>
        <w:t xml:space="preserve"> (g-value)</w:t>
      </w:r>
      <w:r>
        <w:rPr>
          <w:rFonts w:ascii="Helvetica" w:hAnsi="Helvetica"/>
          <w:sz w:val="20"/>
          <w:szCs w:val="20"/>
          <w:rtl w:val="0"/>
          <w:lang w:val="en-US"/>
        </w:rPr>
        <w:t xml:space="preserve"> g: 50 %</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U-</w:t>
      </w:r>
      <w:r>
        <w:rPr>
          <w:rFonts w:ascii="Helvetica" w:hAnsi="Helvetica"/>
          <w:sz w:val="20"/>
          <w:szCs w:val="20"/>
          <w:rtl w:val="0"/>
          <w:lang w:val="en-US"/>
        </w:rPr>
        <w:t xml:space="preserve">Value </w:t>
      </w:r>
      <w:r>
        <w:rPr>
          <w:rFonts w:ascii="Helvetica" w:hAnsi="Helvetica"/>
          <w:sz w:val="20"/>
          <w:szCs w:val="20"/>
          <w:rtl w:val="0"/>
          <w:lang w:val="en-US"/>
        </w:rPr>
        <w:t>Ug: 0.6 W/m</w:t>
      </w:r>
      <w:r>
        <w:rPr>
          <w:rFonts w:ascii="Helvetica" w:hAnsi="Helvetica" w:hint="default"/>
          <w:sz w:val="20"/>
          <w:szCs w:val="20"/>
          <w:rtl w:val="0"/>
          <w:lang w:val="en-US"/>
        </w:rPr>
        <w:t>²</w:t>
      </w:r>
      <w:r>
        <w:rPr>
          <w:rFonts w:ascii="Helvetica" w:hAnsi="Helvetica"/>
          <w:sz w:val="20"/>
          <w:szCs w:val="20"/>
          <w:rtl w:val="0"/>
          <w:lang w:val="en-US"/>
        </w:rPr>
        <w:t>K according to DIN EN 673.</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 </w:t>
      </w:r>
    </w:p>
    <w:p>
      <w:pPr>
        <w:pStyle w:val="Standard"/>
        <w:spacing w:after="0"/>
        <w:jc w:val="both"/>
        <w:rPr>
          <w:rFonts w:ascii="Helvetica" w:cs="Helvetica" w:hAnsi="Helvetica" w:eastAsia="Helvetica"/>
          <w:b w:val="1"/>
          <w:bCs w:val="1"/>
          <w:sz w:val="20"/>
          <w:szCs w:val="20"/>
          <w:lang w:val="en-US"/>
        </w:rPr>
      </w:pP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Stated Ug values were calculated in conformity with DIN EN 673. </w:t>
      </w:r>
    </w:p>
    <w:sectPr>
      <w:headerReference w:type="default" r:id="rId5"/>
      <w:footerReference w:type="default" r:id="rId6"/>
      <w:pgSz w:w="11900" w:h="16840" w:orient="portrait"/>
      <w:pgMar w:top="1417" w:right="1417" w:bottom="113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Standard">
    <w:name w:val="Standard"/>
    <w:next w:val="Standard"/>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