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spacing w:after="0"/>
        <w:jc w:val="both"/>
        <w:rPr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BF</w:t>
        <w:tab/>
        <w:t xml:space="preserve"> Window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(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F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ormal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egulations)</w:t>
      </w:r>
      <w:r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3893510</wp:posOffset>
            </wp:positionH>
            <wp:positionV relativeFrom="page">
              <wp:posOffset>287020</wp:posOffset>
            </wp:positionV>
            <wp:extent cx="1857050" cy="4205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050" cy="4205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Applicable to batimet TA35 Systems</w:t>
      </w:r>
    </w:p>
    <w:p>
      <w:pPr>
        <w:pStyle w:val="Standard"/>
        <w:spacing w:after="0"/>
        <w:jc w:val="both"/>
        <w:rPr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This section deals with descriptions of the various basic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for the respective type of window opening. With due consideration of load transduction, additional parts such as </w:t>
      </w:r>
      <w:r>
        <w:rPr>
          <w:rFonts w:ascii="Helvetica" w:hAnsi="Helvetica"/>
          <w:sz w:val="20"/>
          <w:szCs w:val="20"/>
          <w:rtl w:val="0"/>
          <w:lang w:val="en-US"/>
        </w:rPr>
        <w:t>tapes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or additional shear mountings are used in accordance with the measurement tables from batimet. Further additional parts such as turnstiles, opening </w:t>
      </w:r>
      <w:r>
        <w:rPr>
          <w:rFonts w:ascii="Helvetica" w:hAnsi="Helvetica"/>
          <w:sz w:val="20"/>
          <w:szCs w:val="20"/>
          <w:rtl w:val="0"/>
          <w:lang w:val="en-US"/>
        </w:rPr>
        <w:t>restrictors</w:t>
      </w:r>
      <w:r>
        <w:rPr>
          <w:rFonts w:ascii="Helvetica" w:hAnsi="Helvetica"/>
          <w:sz w:val="20"/>
          <w:szCs w:val="20"/>
          <w:rtl w:val="0"/>
          <w:lang w:val="en-US"/>
        </w:rPr>
        <w:t>, locks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handles are described separately. 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There is a 10-year guaranty for full functioning of tilt &amp;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>.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There must be opportunities provided for service and maintenance of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. If, because of the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sizes specified in the tender, special measures must be taken to ensure long-term use (adhesives for glazing, special screws, reinforcement of profiles and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etc.)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then these shall be taken into account under the item specified, without separate description. Proof of the long-term functioning of the building part must be submitted in written form including confirmation from the system provider. 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01 </w:t>
        <w:tab/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Tilt&amp;Turn 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, Windows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Concealed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 for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loads up to 200 kg, open in tilt position to 175 mm. All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parts, including shears and the lower corner bearings are not visible when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closed.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equipped with an effective blocking device to prevent wrong handling in turn and tilt movements, the corner bearings are secured against </w:t>
      </w:r>
      <w:r>
        <w:rPr>
          <w:rFonts w:ascii="Helvetica" w:hAnsi="Helvetica"/>
          <w:sz w:val="20"/>
          <w:szCs w:val="20"/>
          <w:rtl w:val="0"/>
          <w:lang w:val="en-US"/>
        </w:rPr>
        <w:t>the 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being lifted out. Shears and corner bearings restrict the opening of the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in turning position to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°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. The individual parts of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such as bar pieces, corner pieces, bearings, buffer, discharge bearings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shears are self-instructing. Mounting of these parts in the grooves of the rebate area of the wood profile must interlock. Corner bearings, shears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must be adjustable. All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must be made of non-corroding materials. 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1,600mm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3,000mm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 xml:space="preserve">up to max. 200 kg, up to 300 kg as </w:t>
      </w:r>
      <w:r>
        <w:rPr>
          <w:rFonts w:ascii="Helvetica" w:hAnsi="Helvetica"/>
          <w:sz w:val="20"/>
          <w:szCs w:val="20"/>
          <w:rtl w:val="0"/>
          <w:lang w:val="en-US"/>
        </w:rPr>
        <w:t>turning window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only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02 </w:t>
        <w:tab/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, French Doors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Concealed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 for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loads up to 200 kg, open in tilt position to 175 mm. All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parts, including shears and the lower corner bearings are not visible when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closed.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equipped with an effective blocking device to prevent wrong handling in turn and tilt movements, the corner bearings are secured against </w:t>
      </w:r>
      <w:r>
        <w:rPr>
          <w:rFonts w:ascii="Helvetica" w:hAnsi="Helvetica"/>
          <w:sz w:val="20"/>
          <w:szCs w:val="20"/>
          <w:rtl w:val="0"/>
          <w:lang w:val="en-US"/>
        </w:rPr>
        <w:t>the 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being lifted out.  Shears and corner bearings restrict the opening of the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in turning position to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°</w:t>
      </w:r>
      <w:r>
        <w:rPr>
          <w:rFonts w:ascii="Helvetica" w:hAnsi="Helvetica"/>
          <w:sz w:val="20"/>
          <w:szCs w:val="20"/>
          <w:rtl w:val="0"/>
          <w:lang w:val="en-US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The individual parts of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such as bar pieces, corner pieces, bearings, buffer, discharge bearings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shears are self-instructing. Mounting of these parts in the grooves of the rebate area of the wood profile must interlock. Corner bearings, shears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must be adjustable. All fittings must be made of non-corroding materials. In addition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must be provided with a vertical locking device (</w:t>
      </w:r>
      <w:r>
        <w:rPr>
          <w:rFonts w:ascii="Helvetica" w:hAnsi="Helvetica"/>
          <w:sz w:val="20"/>
          <w:szCs w:val="20"/>
          <w:rtl w:val="0"/>
          <w:lang w:val="en-US"/>
        </w:rPr>
        <w:t>hinge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handle side), a roller snap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a door-pull handle. The floor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 is barrier-free in conformity with DIN 18040 with a threshold height of 20 mm, impermeable to driving rain and thermally separated.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1,600mm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3,000mm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 xml:space="preserve">up to max. 200 kg, up to 300 kg as </w:t>
      </w:r>
      <w:r>
        <w:rPr>
          <w:rFonts w:ascii="Helvetica" w:hAnsi="Helvetica"/>
          <w:sz w:val="20"/>
          <w:szCs w:val="20"/>
          <w:rtl w:val="0"/>
          <w:lang w:val="en-US"/>
        </w:rPr>
        <w:t>turning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only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03 </w:t>
        <w:tab/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, French Doors, lockable inside and outside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Concealed </w:t>
      </w:r>
      <w:r>
        <w:rPr>
          <w:rFonts w:ascii="Helvetica" w:hAnsi="Helvetica"/>
          <w:sz w:val="20"/>
          <w:szCs w:val="20"/>
          <w:rtl w:val="0"/>
          <w:lang w:val="de-DE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de-DE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 for </w:t>
      </w:r>
      <w:r>
        <w:rPr>
          <w:rFonts w:ascii="Helvetica" w:hAnsi="Helvetica"/>
          <w:sz w:val="20"/>
          <w:szCs w:val="20"/>
          <w:rtl w:val="0"/>
          <w:lang w:val="de-DE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loads up to 200 kg, open in tilt position to 175 mm. All </w:t>
      </w:r>
      <w:r>
        <w:rPr>
          <w:rFonts w:ascii="Helvetica" w:hAnsi="Helvetica"/>
          <w:sz w:val="20"/>
          <w:szCs w:val="20"/>
          <w:rtl w:val="0"/>
          <w:lang w:val="de-DE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parts, including shears and the lower corner bearings are not visible when </w:t>
      </w:r>
      <w:r>
        <w:rPr>
          <w:rFonts w:ascii="Helvetica" w:hAnsi="Helvetica"/>
          <w:sz w:val="20"/>
          <w:szCs w:val="20"/>
          <w:rtl w:val="0"/>
          <w:lang w:val="de-DE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closed. The </w:t>
      </w:r>
      <w:r>
        <w:rPr>
          <w:rFonts w:ascii="Helvetica" w:hAnsi="Helvetica"/>
          <w:sz w:val="20"/>
          <w:szCs w:val="20"/>
          <w:rtl w:val="0"/>
          <w:lang w:val="de-DE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equipped with an effective blocking device to prevent wrong handling in turn and tilt movements, the corner bearings are secured against </w:t>
      </w:r>
      <w:r>
        <w:rPr>
          <w:rFonts w:ascii="Helvetica" w:hAnsi="Helvetica"/>
          <w:sz w:val="20"/>
          <w:szCs w:val="20"/>
          <w:rtl w:val="0"/>
          <w:lang w:val="de-DE"/>
        </w:rPr>
        <w:t>the 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being lifted out.  Shears and corner bearings restrict the opening of the </w:t>
      </w:r>
      <w:r>
        <w:rPr>
          <w:rFonts w:ascii="Helvetica" w:hAnsi="Helvetica"/>
          <w:sz w:val="20"/>
          <w:szCs w:val="20"/>
          <w:rtl w:val="0"/>
          <w:lang w:val="de-DE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in turning position to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°</w:t>
      </w:r>
      <w:r>
        <w:rPr>
          <w:rFonts w:ascii="Helvetica" w:hAnsi="Helvetica"/>
          <w:sz w:val="20"/>
          <w:szCs w:val="20"/>
          <w:rtl w:val="0"/>
          <w:lang w:val="en-US"/>
        </w:rPr>
        <w:t>.</w:t>
      </w:r>
      <w:r>
        <w:rPr>
          <w:rFonts w:ascii="Helvetica" w:hAnsi="Helvetica"/>
          <w:sz w:val="20"/>
          <w:szCs w:val="20"/>
          <w:rtl w:val="0"/>
          <w:lang w:val="de-DE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The individual parts of the </w:t>
      </w:r>
      <w:r>
        <w:rPr>
          <w:rFonts w:ascii="Helvetica" w:hAnsi="Helvetica"/>
          <w:sz w:val="20"/>
          <w:szCs w:val="20"/>
          <w:rtl w:val="0"/>
          <w:lang w:val="de-DE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such as bar pieces, corner pieces, bearings, buffer, discharge bearings</w:t>
      </w:r>
      <w:r>
        <w:rPr>
          <w:rFonts w:ascii="Helvetica" w:hAnsi="Helvetica"/>
          <w:sz w:val="20"/>
          <w:szCs w:val="20"/>
          <w:rtl w:val="0"/>
          <w:lang w:val="de-DE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</w:t>
      </w:r>
      <w:r>
        <w:rPr>
          <w:rFonts w:ascii="Helvetica" w:hAnsi="Helvetica"/>
          <w:sz w:val="20"/>
          <w:szCs w:val="20"/>
          <w:rtl w:val="0"/>
          <w:lang w:val="de-DE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shears are self-instructing. Mounting of these parts in the grooves of the rebate area of the wood profile must interlock. Corner bearings, shears</w:t>
      </w:r>
      <w:r>
        <w:rPr>
          <w:rFonts w:ascii="Helvetica" w:hAnsi="Helvetica"/>
          <w:sz w:val="20"/>
          <w:szCs w:val="20"/>
          <w:rtl w:val="0"/>
          <w:lang w:val="de-DE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must be adjustable. All fittings must be made of non-corroding materials.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In addition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must be provided with a vertical locking device (</w:t>
      </w:r>
      <w:r>
        <w:rPr>
          <w:rFonts w:ascii="Helvetica" w:hAnsi="Helvetica"/>
          <w:sz w:val="20"/>
          <w:szCs w:val="20"/>
          <w:rtl w:val="0"/>
          <w:lang w:val="en-US"/>
        </w:rPr>
        <w:t>hinge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handle side), a roller snap, box operation with PZ mesh, a profile cylinder with knob and door handle fitting. The French window can be locked from the outside and from the inside when closed and in </w:t>
      </w:r>
      <w:r>
        <w:rPr>
          <w:rFonts w:ascii="Helvetica" w:hAnsi="Helvetica"/>
          <w:sz w:val="20"/>
          <w:szCs w:val="20"/>
          <w:rtl w:val="0"/>
          <w:lang w:val="en-US"/>
        </w:rPr>
        <w:t>tilt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position. The floor </w:t>
      </w:r>
      <w:r>
        <w:rPr>
          <w:rFonts w:ascii="Helvetica" w:hAnsi="Helvetica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sz w:val="20"/>
          <w:szCs w:val="20"/>
          <w:rtl w:val="0"/>
          <w:lang w:val="en-US"/>
        </w:rPr>
        <w:t>ill is barrier-free in conformity with DIN 18040 with a threshold height of 20 mm, impermeable to driving rain and thermally separated.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1,600mm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3,000mm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 xml:space="preserve">up to max. 200 kg, up to 300 kg as </w:t>
      </w:r>
      <w:r>
        <w:rPr>
          <w:rFonts w:ascii="Helvetica" w:hAnsi="Helvetica"/>
          <w:sz w:val="20"/>
          <w:szCs w:val="20"/>
          <w:rtl w:val="0"/>
          <w:lang w:val="en-US"/>
        </w:rPr>
        <w:t>turning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only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06 </w:t>
        <w:tab/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/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Floating Mullion Hardware,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Windows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Concealed </w:t>
      </w:r>
      <w:r>
        <w:rPr>
          <w:rFonts w:ascii="Helvetica" w:hAnsi="Helvetica"/>
          <w:sz w:val="20"/>
          <w:szCs w:val="20"/>
          <w:rtl w:val="0"/>
          <w:lang w:val="en-US"/>
        </w:rPr>
        <w:t>floating mullion 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 comprising a tilt</w:t>
      </w:r>
      <w:r>
        <w:rPr>
          <w:rFonts w:ascii="Helvetica" w:hAnsi="Helvetica"/>
          <w:sz w:val="20"/>
          <w:szCs w:val="20"/>
          <w:rtl w:val="0"/>
          <w:lang w:val="en-US"/>
        </w:rPr>
        <w:t>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a turn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operation, for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loads up to 200 kg, open in tilt position to 175 mm. All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parts, including shears and the lower corner bearings are not visible when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closed.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equipped with an effective blocking device to prevent wrong handling in turn and tilt movements, the corner bearings are secured against </w:t>
      </w:r>
      <w:r>
        <w:rPr>
          <w:rFonts w:ascii="Helvetica" w:hAnsi="Helvetica"/>
          <w:sz w:val="20"/>
          <w:szCs w:val="20"/>
          <w:rtl w:val="0"/>
          <w:lang w:val="en-US"/>
        </w:rPr>
        <w:t>the 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being lifted out. Shears and corner bearings restrict width of opening of the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in turning position to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°</w:t>
      </w:r>
      <w:r>
        <w:rPr>
          <w:rFonts w:ascii="Helvetica" w:hAnsi="Helvetica"/>
          <w:sz w:val="20"/>
          <w:szCs w:val="20"/>
          <w:rtl w:val="0"/>
          <w:lang w:val="en-US"/>
        </w:rPr>
        <w:t>. The individual parts of the fittings such as bar pieces, corner pieces, bearings, buffer, discharge bearings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shears are self-instructing. Mounting of these parts in the grooves of the rebate area of the wood profile must interlock. Corner bearings, shears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locking devices must be adjustable. All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must be made of non-corroding materials. The turning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locked via a French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operation lever in the rebate.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1,600mm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3,000mm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>up to max. 200 kg, up to 300 kg as pivot only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12 </w:t>
        <w:tab/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for Tilt-First Windows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Concealed </w:t>
      </w:r>
      <w:r>
        <w:rPr>
          <w:rFonts w:ascii="Helvetica" w:hAnsi="Helvetica"/>
          <w:sz w:val="20"/>
          <w:szCs w:val="20"/>
          <w:rtl w:val="0"/>
          <w:lang w:val="en-US"/>
        </w:rPr>
        <w:t>Tilt&amp;Turn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with one-hand operation for </w:t>
      </w: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loads up to 200 kg, open in tilt position to 175 mm as in BF 01 but here with tilt-first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. Overlying </w:t>
      </w:r>
      <w:r>
        <w:rPr>
          <w:rFonts w:ascii="Helvetica" w:hAnsi="Helvetica"/>
          <w:sz w:val="20"/>
          <w:szCs w:val="20"/>
          <w:rtl w:val="0"/>
          <w:lang w:val="en-US"/>
        </w:rPr>
        <w:t>hinge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side with central locking concealed in the rebate and operation with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“</w:t>
      </w:r>
      <w:r>
        <w:rPr>
          <w:rFonts w:ascii="Helvetica" w:hAnsi="Helvetica"/>
          <w:sz w:val="20"/>
          <w:szCs w:val="20"/>
          <w:rtl w:val="0"/>
          <w:lang w:val="en-US"/>
        </w:rPr>
        <w:t>Tilt-First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” </w:t>
      </w:r>
      <w:r>
        <w:rPr>
          <w:rFonts w:ascii="Helvetica" w:hAnsi="Helvetica"/>
          <w:sz w:val="20"/>
          <w:szCs w:val="20"/>
          <w:rtl w:val="0"/>
          <w:lang w:val="en-US"/>
        </w:rPr>
        <w:t>technology for secure ventilation, as preferred in schools, nurseries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and old-people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’</w:t>
      </w:r>
      <w:r>
        <w:rPr>
          <w:rFonts w:ascii="Helvetica" w:hAnsi="Helvetica"/>
          <w:sz w:val="20"/>
          <w:szCs w:val="20"/>
          <w:rtl w:val="0"/>
          <w:lang w:val="en-US"/>
        </w:rPr>
        <w:t>s homes.</w:t>
      </w:r>
    </w:p>
    <w:p>
      <w:pPr>
        <w:pStyle w:val="Standard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 tilt position is attained when the window handle on the closed window is turned upward vertically </w:t>
      </w:r>
      <w:r>
        <w:rPr>
          <w:rFonts w:ascii="Helvetica" w:hAnsi="Helvetica"/>
          <w:sz w:val="20"/>
          <w:szCs w:val="20"/>
          <w:rtl w:val="0"/>
          <w:lang w:val="en-US"/>
        </w:rPr>
        <w:t>by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°</w:t>
      </w:r>
      <w:r>
        <w:rPr>
          <w:rFonts w:ascii="Helvetica" w:hAnsi="Helvetica"/>
          <w:sz w:val="20"/>
          <w:szCs w:val="20"/>
          <w:rtl w:val="0"/>
          <w:lang w:val="en-US"/>
        </w:rPr>
        <w:t>. Only when the window handle is then turned by a further 90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° </w:t>
      </w:r>
      <w:r>
        <w:rPr>
          <w:rFonts w:ascii="Helvetica" w:hAnsi="Helvetica"/>
          <w:sz w:val="20"/>
          <w:szCs w:val="20"/>
          <w:rtl w:val="0"/>
          <w:lang w:val="en-US"/>
        </w:rPr>
        <w:t>(vertical position)</w:t>
      </w:r>
      <w:r>
        <w:rPr>
          <w:rFonts w:ascii="Helvetica" w:hAnsi="Helvetica"/>
          <w:sz w:val="20"/>
          <w:szCs w:val="20"/>
          <w:rtl w:val="0"/>
          <w:lang w:val="en-US"/>
        </w:rPr>
        <w:t>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the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is in a turn position. 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The turn position shall be enabled by means of a closing cylinder integrated in the window handle. The window handle can then no longer be turned further to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“</w:t>
      </w:r>
      <w:r>
        <w:rPr>
          <w:rFonts w:ascii="Helvetica" w:hAnsi="Helvetica"/>
          <w:sz w:val="20"/>
          <w:szCs w:val="20"/>
          <w:rtl w:val="0"/>
          <w:lang w:val="en-US"/>
        </w:rPr>
        <w:t>open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without the right key. With integrated anti-slam safety.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1,600mm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3,000mm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 xml:space="preserve">up to max. 200 kg, up to 300 kg as </w:t>
      </w:r>
      <w:r>
        <w:rPr>
          <w:rFonts w:ascii="Helvetica" w:hAnsi="Helvetica"/>
          <w:sz w:val="20"/>
          <w:szCs w:val="20"/>
          <w:rtl w:val="0"/>
          <w:lang w:val="en-US"/>
        </w:rPr>
        <w:t>turning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only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BF 40 </w:t>
      </w:r>
      <w:r>
        <w:rPr>
          <w:rFonts w:ascii="Helvetica" w:cs="Helvetica" w:hAnsi="Helvetica" w:eastAsia="Helvetica"/>
          <w:b w:val="1"/>
          <w:bCs w:val="1"/>
          <w:sz w:val="20"/>
          <w:szCs w:val="20"/>
          <w:rtl w:val="0"/>
          <w:lang w:val="en-US"/>
        </w:rPr>
        <w:tab/>
        <w:t>Tilt&amp;Turn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(F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 xml:space="preserve">ully 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C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oncealed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)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 same as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BF 01 but as fully concealed model. All components must be invisible from the outside when integrated in the rebate of the window. No bands or cover caps should be visible.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width:</w:t>
        <w:tab/>
        <w:t xml:space="preserve">330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1.400mm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de-DE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rebate height:</w:t>
        <w:tab/>
        <w:t xml:space="preserve">280 </w:t>
      </w:r>
      <w:r>
        <w:rPr>
          <w:rFonts w:ascii="Helvetica" w:hAnsi="Helvetica" w:hint="default"/>
          <w:sz w:val="20"/>
          <w:szCs w:val="20"/>
          <w:rtl w:val="0"/>
          <w:lang w:val="en-US"/>
        </w:rPr>
        <w:t xml:space="preserve">– </w:t>
      </w:r>
      <w:r>
        <w:rPr>
          <w:rFonts w:ascii="Helvetica" w:hAnsi="Helvetica"/>
          <w:sz w:val="20"/>
          <w:szCs w:val="20"/>
          <w:rtl w:val="0"/>
          <w:lang w:val="en-US"/>
        </w:rPr>
        <w:t>2.600mm</w:t>
        <w:tab/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de-DE"/>
        </w:rPr>
        <w:t>Sash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weight:</w:t>
        <w:tab/>
        <w:tab/>
        <w:t xml:space="preserve">up to max. 150 kg, up to 300 kg as </w:t>
      </w:r>
      <w:r>
        <w:rPr>
          <w:rFonts w:ascii="Helvetica" w:hAnsi="Helvetica"/>
          <w:sz w:val="20"/>
          <w:szCs w:val="20"/>
          <w:rtl w:val="0"/>
          <w:lang w:val="en-US"/>
        </w:rPr>
        <w:t>hardware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BF 01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Handle position:</w:t>
        <w:tab/>
        <w:t>constant, central/variable</w:t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Standard"/>
        <w:spacing w:after="0"/>
        <w:jc w:val="both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BF 80</w:t>
        <w:tab/>
        <w:t xml:space="preserve"> Turning Lock with Cylinder</w:t>
        <w:tab/>
      </w:r>
    </w:p>
    <w:p>
      <w:pPr>
        <w:pStyle w:val="Standard"/>
        <w:spacing w:after="0" w:line="240" w:lineRule="auto"/>
        <w:jc w:val="both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Model is the same as BF 01 but with an additional lockable turning lock with cylinder.</w:t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