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spacing w:after="0"/>
        <w:jc w:val="both"/>
        <w:rPr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HS Lift-Slide Hardware (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F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ormal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R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egulations)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3893510</wp:posOffset>
            </wp:positionH>
            <wp:positionV relativeFrom="page">
              <wp:posOffset>289559</wp:posOffset>
            </wp:positionV>
            <wp:extent cx="1857050" cy="42058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050" cy="4205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This section deals with descriptions of the various basic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for the respective type of window opening. With due consideration of load transduction, additional parts such as </w:t>
      </w:r>
      <w:r>
        <w:rPr>
          <w:rFonts w:ascii="Helvetica" w:hAnsi="Helvetica"/>
          <w:sz w:val="20"/>
          <w:szCs w:val="20"/>
          <w:rtl w:val="0"/>
          <w:lang w:val="en-US"/>
        </w:rPr>
        <w:t>hinges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locking devices or additional shear mountings are used in accordance with the measurement tables from batimet. Further additional parts such as turnstiles, opening limiters, locks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handles are described separately. 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There is a 10-year guaranty for full functioning of tilt &amp; turn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>.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There must be opportunities provided for service and maintenance of the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. If, because of the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sizes specified in the tender, special measures must be taken to ensure long-term use (adhesives for glazing, special screws, reinforcement of profiles and fittings etc.)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then these shall be taken into account under the item specified, without separate description. Proof of the long-term functioning of the building part must be submitted in written form including confirmation from the system provider. 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HS 01 Lift-Slide Hardware Scheme A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Excellent quiet running property and easy movement even for large or heavy </w:t>
      </w:r>
      <w:r>
        <w:rPr>
          <w:rFonts w:ascii="Helvetica" w:hAnsi="Helvetica"/>
          <w:sz w:val="20"/>
          <w:szCs w:val="20"/>
          <w:rtl w:val="0"/>
          <w:lang w:val="en-US"/>
        </w:rPr>
        <w:t>sashes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through optimally coordinated function components such as carriage, gears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turning handles.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Gears for </w:t>
      </w:r>
      <w:r>
        <w:rPr>
          <w:rFonts w:ascii="Helvetica" w:hAnsi="Helvetica"/>
          <w:sz w:val="20"/>
          <w:szCs w:val="20"/>
          <w:rtl w:val="0"/>
          <w:lang w:val="en-US"/>
        </w:rPr>
        <w:t>sashes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up to 300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 </w:t>
      </w:r>
      <w:r>
        <w:rPr>
          <w:rFonts w:ascii="Helvetica" w:hAnsi="Helvetica"/>
          <w:sz w:val="20"/>
          <w:szCs w:val="20"/>
          <w:rtl w:val="0"/>
          <w:lang w:val="en-US"/>
        </w:rPr>
        <w:t>kg, 1851-3250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 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mm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height and 3300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 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mm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width. Upper guide with guide rail, bottom connection with thermally separated floor </w:t>
      </w:r>
      <w:r>
        <w:rPr>
          <w:rFonts w:ascii="Helvetica" w:hAnsi="Helvetica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sz w:val="20"/>
          <w:szCs w:val="20"/>
          <w:rtl w:val="0"/>
          <w:lang w:val="en-US"/>
        </w:rPr>
        <w:t>ill.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High level break-in resistance thanks to stable hardware components.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Scheme A, 1 piece, lift-slide door, 1 piece, fixed glazing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Surface of use operating elements in matt stainless steel.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HS 03 Lift-Slide Hardware Scheme C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Excellent quiet running property and easy movement even for large or heavy </w:t>
      </w:r>
      <w:r>
        <w:rPr>
          <w:rFonts w:ascii="Helvetica" w:hAnsi="Helvetica"/>
          <w:sz w:val="20"/>
          <w:szCs w:val="20"/>
          <w:rtl w:val="0"/>
          <w:lang w:val="en-US"/>
        </w:rPr>
        <w:t>sashes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through optimally coordinated function components such as carriage, gears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turning handles.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Gears for </w:t>
      </w:r>
      <w:r>
        <w:rPr>
          <w:rFonts w:ascii="Helvetica" w:hAnsi="Helvetica"/>
          <w:sz w:val="20"/>
          <w:szCs w:val="20"/>
          <w:rtl w:val="0"/>
          <w:lang w:val="en-US"/>
        </w:rPr>
        <w:t>sashes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up to 300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 </w:t>
      </w:r>
      <w:r>
        <w:rPr>
          <w:rFonts w:ascii="Helvetica" w:hAnsi="Helvetica"/>
          <w:sz w:val="20"/>
          <w:szCs w:val="20"/>
          <w:rtl w:val="0"/>
          <w:lang w:val="en-US"/>
        </w:rPr>
        <w:t>kg, 1851-3250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 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mm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height and 3300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 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mm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width. Upper guide with guide rail, bottom connection with thermally separated floor sill.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High level break-in resistance thanks to stable hardware components.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Scheme C, 2 pieces lift-slide doors, 2 pieces fixed glazing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Surface of use operating elements in matt stainless steel.</w:t>
      </w:r>
    </w:p>
    <w:p>
      <w:pPr>
        <w:pStyle w:val="Standard"/>
        <w:spacing w:after="0"/>
        <w:jc w:val="both"/>
      </w:pPr>
      <w:r>
        <w:rPr>
          <w:rFonts w:ascii="Helvetica" w:cs="Helvetica" w:hAnsi="Helvetica" w:eastAsia="Helvetica"/>
          <w:sz w:val="20"/>
          <w:szCs w:val="20"/>
          <w:lang w:val="en-US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